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15451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134"/>
        <w:gridCol w:w="1275"/>
        <w:gridCol w:w="1418"/>
        <w:gridCol w:w="1134"/>
        <w:gridCol w:w="1197"/>
        <w:gridCol w:w="929"/>
        <w:gridCol w:w="1418"/>
        <w:gridCol w:w="1417"/>
        <w:gridCol w:w="1134"/>
        <w:gridCol w:w="992"/>
      </w:tblGrid>
      <w:tr w:rsidR="00E97E2E" w:rsidRPr="00E97E2E" w14:paraId="6CD5747E" w14:textId="77777777" w:rsidTr="00FD2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AD570B0" w14:textId="77777777" w:rsidR="00E97E2E" w:rsidRPr="00E97E2E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lang w:eastAsia="lv-LV"/>
              </w:rPr>
            </w:pPr>
          </w:p>
        </w:tc>
        <w:tc>
          <w:tcPr>
            <w:tcW w:w="1276" w:type="dxa"/>
            <w:vAlign w:val="center"/>
            <w:hideMark/>
          </w:tcPr>
          <w:p w14:paraId="0950DADF" w14:textId="77777777" w:rsidR="00E97E2E" w:rsidRPr="00E97E2E" w:rsidRDefault="00E97E2E" w:rsidP="00FE7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lang w:eastAsia="lv-LV"/>
              </w:rPr>
              <w:t>Sasniegumi</w:t>
            </w:r>
          </w:p>
        </w:tc>
        <w:tc>
          <w:tcPr>
            <w:tcW w:w="1134" w:type="dxa"/>
            <w:vAlign w:val="center"/>
            <w:hideMark/>
          </w:tcPr>
          <w:p w14:paraId="7DE942B2" w14:textId="77777777" w:rsidR="00E97E2E" w:rsidRPr="00E97E2E" w:rsidRDefault="00E97E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lang w:eastAsia="lv-LV"/>
              </w:rPr>
              <w:t>Jauniešu sports</w:t>
            </w:r>
          </w:p>
        </w:tc>
        <w:tc>
          <w:tcPr>
            <w:tcW w:w="1275" w:type="dxa"/>
            <w:vAlign w:val="center"/>
            <w:hideMark/>
          </w:tcPr>
          <w:p w14:paraId="78B0B4E0" w14:textId="77777777" w:rsidR="00E97E2E" w:rsidRPr="00E97E2E" w:rsidRDefault="00E97E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lang w:eastAsia="lv-LV"/>
              </w:rPr>
              <w:t>Pieejamība</w:t>
            </w:r>
          </w:p>
        </w:tc>
        <w:tc>
          <w:tcPr>
            <w:tcW w:w="1418" w:type="dxa"/>
            <w:vAlign w:val="center"/>
            <w:hideMark/>
          </w:tcPr>
          <w:p w14:paraId="2E17EC4A" w14:textId="77777777" w:rsidR="00E97E2E" w:rsidRPr="00E97E2E" w:rsidRDefault="00E97E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lang w:eastAsia="lv-LV"/>
              </w:rPr>
              <w:t>Masveidība</w:t>
            </w:r>
          </w:p>
        </w:tc>
        <w:tc>
          <w:tcPr>
            <w:tcW w:w="1134" w:type="dxa"/>
            <w:vAlign w:val="center"/>
            <w:hideMark/>
          </w:tcPr>
          <w:p w14:paraId="66D0908C" w14:textId="77777777" w:rsidR="00E97E2E" w:rsidRPr="00E97E2E" w:rsidRDefault="00E97E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lang w:eastAsia="lv-LV"/>
              </w:rPr>
              <w:t>Nākotnes potenciāls</w:t>
            </w:r>
          </w:p>
        </w:tc>
        <w:tc>
          <w:tcPr>
            <w:tcW w:w="1197" w:type="dxa"/>
            <w:vAlign w:val="center"/>
            <w:hideMark/>
          </w:tcPr>
          <w:p w14:paraId="6A463781" w14:textId="77777777" w:rsidR="00E97E2E" w:rsidRPr="00E97E2E" w:rsidRDefault="00E97E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lang w:eastAsia="lv-LV"/>
              </w:rPr>
              <w:t>Sacensības Latvijā</w:t>
            </w:r>
          </w:p>
        </w:tc>
        <w:tc>
          <w:tcPr>
            <w:tcW w:w="929" w:type="dxa"/>
            <w:vAlign w:val="center"/>
            <w:hideMark/>
          </w:tcPr>
          <w:p w14:paraId="22CC383E" w14:textId="33C900A9" w:rsidR="00E97E2E" w:rsidRPr="00E97E2E" w:rsidRDefault="00E97E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lang w:eastAsia="lv-LV"/>
              </w:rPr>
              <w:t>Prestiž</w:t>
            </w:r>
            <w:r w:rsidR="00FE7192">
              <w:rPr>
                <w:rFonts w:ascii="Calibri" w:eastAsia="Times New Roman" w:hAnsi="Calibri" w:cs="Calibri"/>
                <w:lang w:eastAsia="lv-LV"/>
              </w:rPr>
              <w:t>s pasaulē</w:t>
            </w:r>
          </w:p>
        </w:tc>
        <w:tc>
          <w:tcPr>
            <w:tcW w:w="1418" w:type="dxa"/>
            <w:vAlign w:val="center"/>
            <w:hideMark/>
          </w:tcPr>
          <w:p w14:paraId="0F9656FA" w14:textId="77777777" w:rsidR="00E97E2E" w:rsidRPr="00E97E2E" w:rsidRDefault="00E97E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lang w:eastAsia="lv-LV"/>
              </w:rPr>
              <w:t>Rentabilitāte</w:t>
            </w:r>
          </w:p>
        </w:tc>
        <w:tc>
          <w:tcPr>
            <w:tcW w:w="1417" w:type="dxa"/>
            <w:vAlign w:val="center"/>
            <w:hideMark/>
          </w:tcPr>
          <w:p w14:paraId="15936DFE" w14:textId="77777777" w:rsidR="00E97E2E" w:rsidRPr="00E97E2E" w:rsidRDefault="00E97E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lang w:eastAsia="lv-LV"/>
              </w:rPr>
              <w:t>Vienlīdzība</w:t>
            </w:r>
          </w:p>
        </w:tc>
        <w:tc>
          <w:tcPr>
            <w:tcW w:w="1134" w:type="dxa"/>
            <w:vAlign w:val="center"/>
            <w:hideMark/>
          </w:tcPr>
          <w:p w14:paraId="53EF7374" w14:textId="65FA8231" w:rsidR="00E97E2E" w:rsidRPr="00E97E2E" w:rsidRDefault="00E97E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lang w:eastAsia="lv-LV"/>
              </w:rPr>
              <w:t>Prestižs L</w:t>
            </w:r>
            <w:r w:rsidR="00FE7192">
              <w:rPr>
                <w:rFonts w:ascii="Calibri" w:eastAsia="Times New Roman" w:hAnsi="Calibri" w:cs="Calibri"/>
                <w:lang w:eastAsia="lv-LV"/>
              </w:rPr>
              <w:t>atvijā</w:t>
            </w:r>
          </w:p>
        </w:tc>
        <w:tc>
          <w:tcPr>
            <w:tcW w:w="992" w:type="dxa"/>
            <w:vAlign w:val="center"/>
            <w:hideMark/>
          </w:tcPr>
          <w:p w14:paraId="242CFC3D" w14:textId="4C79568F" w:rsidR="00E97E2E" w:rsidRPr="00E97E2E" w:rsidRDefault="00FE7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KOPĀ</w:t>
            </w:r>
          </w:p>
        </w:tc>
      </w:tr>
      <w:tr w:rsidR="00E97E2E" w:rsidRPr="00E97E2E" w14:paraId="12354067" w14:textId="77777777" w:rsidTr="00FD201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3E2F8CA" w14:textId="77777777" w:rsidR="00E97E2E" w:rsidRPr="00E97E2E" w:rsidRDefault="00E97E2E" w:rsidP="00E97E2E">
            <w:pPr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lang w:eastAsia="lv-LV"/>
              </w:rPr>
              <w:t>Punktu svars</w:t>
            </w:r>
          </w:p>
        </w:tc>
        <w:tc>
          <w:tcPr>
            <w:tcW w:w="1276" w:type="dxa"/>
            <w:noWrap/>
            <w:hideMark/>
          </w:tcPr>
          <w:p w14:paraId="456F3054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lang w:eastAsia="lv-LV"/>
              </w:rPr>
              <w:t>20%</w:t>
            </w:r>
          </w:p>
        </w:tc>
        <w:tc>
          <w:tcPr>
            <w:tcW w:w="1134" w:type="dxa"/>
            <w:noWrap/>
            <w:hideMark/>
          </w:tcPr>
          <w:p w14:paraId="559DE347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lang w:eastAsia="lv-LV"/>
              </w:rPr>
              <w:t>8%</w:t>
            </w:r>
          </w:p>
        </w:tc>
        <w:tc>
          <w:tcPr>
            <w:tcW w:w="1275" w:type="dxa"/>
            <w:noWrap/>
            <w:hideMark/>
          </w:tcPr>
          <w:p w14:paraId="2524EFB0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lang w:eastAsia="lv-LV"/>
              </w:rPr>
              <w:t>3%</w:t>
            </w:r>
          </w:p>
        </w:tc>
        <w:tc>
          <w:tcPr>
            <w:tcW w:w="1418" w:type="dxa"/>
            <w:noWrap/>
            <w:hideMark/>
          </w:tcPr>
          <w:p w14:paraId="150C0510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lang w:eastAsia="lv-LV"/>
              </w:rPr>
              <w:t>5%</w:t>
            </w:r>
          </w:p>
        </w:tc>
        <w:tc>
          <w:tcPr>
            <w:tcW w:w="1134" w:type="dxa"/>
            <w:noWrap/>
            <w:hideMark/>
          </w:tcPr>
          <w:p w14:paraId="092AED4A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lang w:eastAsia="lv-LV"/>
              </w:rPr>
              <w:t>18%</w:t>
            </w:r>
          </w:p>
        </w:tc>
        <w:tc>
          <w:tcPr>
            <w:tcW w:w="1197" w:type="dxa"/>
            <w:noWrap/>
            <w:hideMark/>
          </w:tcPr>
          <w:p w14:paraId="4EDDE562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lang w:eastAsia="lv-LV"/>
              </w:rPr>
              <w:t>5%</w:t>
            </w:r>
          </w:p>
        </w:tc>
        <w:tc>
          <w:tcPr>
            <w:tcW w:w="929" w:type="dxa"/>
            <w:noWrap/>
            <w:hideMark/>
          </w:tcPr>
          <w:p w14:paraId="31B5AE9A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lang w:eastAsia="lv-LV"/>
              </w:rPr>
              <w:t>20%</w:t>
            </w:r>
          </w:p>
        </w:tc>
        <w:tc>
          <w:tcPr>
            <w:tcW w:w="1418" w:type="dxa"/>
            <w:noWrap/>
            <w:hideMark/>
          </w:tcPr>
          <w:p w14:paraId="21F82729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lang w:eastAsia="lv-LV"/>
              </w:rPr>
              <w:t>3%</w:t>
            </w:r>
          </w:p>
        </w:tc>
        <w:tc>
          <w:tcPr>
            <w:tcW w:w="1417" w:type="dxa"/>
            <w:noWrap/>
            <w:hideMark/>
          </w:tcPr>
          <w:p w14:paraId="480301DF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lang w:eastAsia="lv-LV"/>
              </w:rPr>
              <w:t>3%</w:t>
            </w:r>
          </w:p>
        </w:tc>
        <w:tc>
          <w:tcPr>
            <w:tcW w:w="1134" w:type="dxa"/>
            <w:noWrap/>
            <w:hideMark/>
          </w:tcPr>
          <w:p w14:paraId="366BA7C5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lang w:eastAsia="lv-LV"/>
              </w:rPr>
              <w:t>15%</w:t>
            </w:r>
          </w:p>
        </w:tc>
        <w:tc>
          <w:tcPr>
            <w:tcW w:w="992" w:type="dxa"/>
            <w:noWrap/>
            <w:hideMark/>
          </w:tcPr>
          <w:p w14:paraId="5B100FA6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lang w:eastAsia="lv-LV"/>
              </w:rPr>
              <w:t>100,00%</w:t>
            </w:r>
          </w:p>
        </w:tc>
      </w:tr>
      <w:tr w:rsidR="00E97E2E" w:rsidRPr="00E97E2E" w14:paraId="2571355A" w14:textId="77777777" w:rsidTr="00FD20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FF474E1" w14:textId="77777777" w:rsidR="00E97E2E" w:rsidRPr="00E97E2E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  <w:t>Biatlons</w:t>
            </w:r>
          </w:p>
        </w:tc>
        <w:tc>
          <w:tcPr>
            <w:tcW w:w="1276" w:type="dxa"/>
            <w:noWrap/>
            <w:hideMark/>
          </w:tcPr>
          <w:p w14:paraId="00349DD4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13,6%</w:t>
            </w:r>
          </w:p>
        </w:tc>
        <w:tc>
          <w:tcPr>
            <w:tcW w:w="1134" w:type="dxa"/>
            <w:noWrap/>
            <w:hideMark/>
          </w:tcPr>
          <w:p w14:paraId="7D97896E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1,4%</w:t>
            </w:r>
          </w:p>
        </w:tc>
        <w:tc>
          <w:tcPr>
            <w:tcW w:w="1275" w:type="dxa"/>
            <w:noWrap/>
            <w:hideMark/>
          </w:tcPr>
          <w:p w14:paraId="398042BD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0,15%</w:t>
            </w:r>
          </w:p>
        </w:tc>
        <w:tc>
          <w:tcPr>
            <w:tcW w:w="1418" w:type="dxa"/>
            <w:noWrap/>
            <w:hideMark/>
          </w:tcPr>
          <w:p w14:paraId="088D259B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0,7%</w:t>
            </w:r>
          </w:p>
        </w:tc>
        <w:tc>
          <w:tcPr>
            <w:tcW w:w="1134" w:type="dxa"/>
            <w:noWrap/>
            <w:hideMark/>
          </w:tcPr>
          <w:p w14:paraId="29E84FBA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7,2%</w:t>
            </w:r>
          </w:p>
        </w:tc>
        <w:tc>
          <w:tcPr>
            <w:tcW w:w="1197" w:type="dxa"/>
            <w:noWrap/>
            <w:hideMark/>
          </w:tcPr>
          <w:p w14:paraId="504750AF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0,5%</w:t>
            </w:r>
          </w:p>
        </w:tc>
        <w:tc>
          <w:tcPr>
            <w:tcW w:w="929" w:type="dxa"/>
            <w:noWrap/>
            <w:hideMark/>
          </w:tcPr>
          <w:p w14:paraId="5AEF39AA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12,4%</w:t>
            </w:r>
          </w:p>
        </w:tc>
        <w:tc>
          <w:tcPr>
            <w:tcW w:w="1418" w:type="dxa"/>
            <w:noWrap/>
            <w:hideMark/>
          </w:tcPr>
          <w:p w14:paraId="268424C6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0,3%</w:t>
            </w:r>
          </w:p>
        </w:tc>
        <w:tc>
          <w:tcPr>
            <w:tcW w:w="1417" w:type="dxa"/>
            <w:noWrap/>
            <w:hideMark/>
          </w:tcPr>
          <w:p w14:paraId="368376A1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2,0%</w:t>
            </w:r>
          </w:p>
        </w:tc>
        <w:tc>
          <w:tcPr>
            <w:tcW w:w="1134" w:type="dxa"/>
            <w:noWrap/>
            <w:hideMark/>
          </w:tcPr>
          <w:p w14:paraId="6C6AC8E4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12,5%</w:t>
            </w:r>
          </w:p>
        </w:tc>
        <w:tc>
          <w:tcPr>
            <w:tcW w:w="992" w:type="dxa"/>
            <w:noWrap/>
            <w:hideMark/>
          </w:tcPr>
          <w:p w14:paraId="57A9BAD4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50,69%</w:t>
            </w:r>
          </w:p>
        </w:tc>
      </w:tr>
      <w:tr w:rsidR="00E97E2E" w:rsidRPr="00E97E2E" w14:paraId="1D9B6F8D" w14:textId="77777777" w:rsidTr="00FD20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3188B7A" w14:textId="77777777" w:rsidR="00E97E2E" w:rsidRPr="00E97E2E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  <w:t>Bobslejs</w:t>
            </w:r>
          </w:p>
        </w:tc>
        <w:tc>
          <w:tcPr>
            <w:tcW w:w="1276" w:type="dxa"/>
            <w:noWrap/>
            <w:hideMark/>
          </w:tcPr>
          <w:p w14:paraId="5FAB6943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16,6%</w:t>
            </w:r>
          </w:p>
        </w:tc>
        <w:tc>
          <w:tcPr>
            <w:tcW w:w="1134" w:type="dxa"/>
            <w:noWrap/>
            <w:hideMark/>
          </w:tcPr>
          <w:p w14:paraId="4DF2140C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0,1%</w:t>
            </w:r>
          </w:p>
        </w:tc>
        <w:tc>
          <w:tcPr>
            <w:tcW w:w="1275" w:type="dxa"/>
            <w:noWrap/>
            <w:hideMark/>
          </w:tcPr>
          <w:p w14:paraId="5AF7DFA2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0,03%</w:t>
            </w:r>
          </w:p>
        </w:tc>
        <w:tc>
          <w:tcPr>
            <w:tcW w:w="1418" w:type="dxa"/>
            <w:noWrap/>
            <w:hideMark/>
          </w:tcPr>
          <w:p w14:paraId="724B2A6E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0,2%</w:t>
            </w:r>
          </w:p>
        </w:tc>
        <w:tc>
          <w:tcPr>
            <w:tcW w:w="1134" w:type="dxa"/>
            <w:noWrap/>
            <w:hideMark/>
          </w:tcPr>
          <w:p w14:paraId="48A7C355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13,5%</w:t>
            </w:r>
          </w:p>
        </w:tc>
        <w:tc>
          <w:tcPr>
            <w:tcW w:w="1197" w:type="dxa"/>
            <w:noWrap/>
            <w:hideMark/>
          </w:tcPr>
          <w:p w14:paraId="66FD7A01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0,1%</w:t>
            </w:r>
          </w:p>
        </w:tc>
        <w:tc>
          <w:tcPr>
            <w:tcW w:w="929" w:type="dxa"/>
            <w:noWrap/>
            <w:hideMark/>
          </w:tcPr>
          <w:p w14:paraId="253E684F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7,8%</w:t>
            </w:r>
          </w:p>
        </w:tc>
        <w:tc>
          <w:tcPr>
            <w:tcW w:w="1418" w:type="dxa"/>
            <w:noWrap/>
            <w:hideMark/>
          </w:tcPr>
          <w:p w14:paraId="66346069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1,3%</w:t>
            </w:r>
          </w:p>
        </w:tc>
        <w:tc>
          <w:tcPr>
            <w:tcW w:w="1417" w:type="dxa"/>
            <w:noWrap/>
            <w:hideMark/>
          </w:tcPr>
          <w:p w14:paraId="02638174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3,0%</w:t>
            </w:r>
          </w:p>
        </w:tc>
        <w:tc>
          <w:tcPr>
            <w:tcW w:w="1134" w:type="dxa"/>
            <w:noWrap/>
            <w:hideMark/>
          </w:tcPr>
          <w:p w14:paraId="3E69E26F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10,4%</w:t>
            </w:r>
          </w:p>
        </w:tc>
        <w:tc>
          <w:tcPr>
            <w:tcW w:w="992" w:type="dxa"/>
            <w:noWrap/>
            <w:hideMark/>
          </w:tcPr>
          <w:p w14:paraId="7F208501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52,95%</w:t>
            </w:r>
          </w:p>
        </w:tc>
      </w:tr>
      <w:tr w:rsidR="00E97E2E" w:rsidRPr="00E97E2E" w14:paraId="3A348228" w14:textId="77777777" w:rsidTr="00FD20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F13352F" w14:textId="77777777" w:rsidR="00E97E2E" w:rsidRPr="00E97E2E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  <w:t>Skeletons</w:t>
            </w:r>
          </w:p>
        </w:tc>
        <w:tc>
          <w:tcPr>
            <w:tcW w:w="1276" w:type="dxa"/>
            <w:noWrap/>
            <w:hideMark/>
          </w:tcPr>
          <w:p w14:paraId="4EEC386C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18,0%</w:t>
            </w:r>
          </w:p>
        </w:tc>
        <w:tc>
          <w:tcPr>
            <w:tcW w:w="1134" w:type="dxa"/>
            <w:noWrap/>
            <w:hideMark/>
          </w:tcPr>
          <w:p w14:paraId="573D53E3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0,2%</w:t>
            </w:r>
          </w:p>
        </w:tc>
        <w:tc>
          <w:tcPr>
            <w:tcW w:w="1275" w:type="dxa"/>
            <w:noWrap/>
            <w:hideMark/>
          </w:tcPr>
          <w:p w14:paraId="66C7FE55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0,03%</w:t>
            </w:r>
          </w:p>
        </w:tc>
        <w:tc>
          <w:tcPr>
            <w:tcW w:w="1418" w:type="dxa"/>
            <w:noWrap/>
            <w:hideMark/>
          </w:tcPr>
          <w:p w14:paraId="2174FF0A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0,1%</w:t>
            </w:r>
          </w:p>
        </w:tc>
        <w:tc>
          <w:tcPr>
            <w:tcW w:w="1134" w:type="dxa"/>
            <w:noWrap/>
            <w:hideMark/>
          </w:tcPr>
          <w:p w14:paraId="2068D549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13,5%</w:t>
            </w:r>
          </w:p>
        </w:tc>
        <w:tc>
          <w:tcPr>
            <w:tcW w:w="1197" w:type="dxa"/>
            <w:noWrap/>
            <w:hideMark/>
          </w:tcPr>
          <w:p w14:paraId="70CB2343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0,1%</w:t>
            </w:r>
          </w:p>
        </w:tc>
        <w:tc>
          <w:tcPr>
            <w:tcW w:w="929" w:type="dxa"/>
            <w:noWrap/>
            <w:hideMark/>
          </w:tcPr>
          <w:p w14:paraId="3C14C810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2,0%</w:t>
            </w:r>
          </w:p>
        </w:tc>
        <w:tc>
          <w:tcPr>
            <w:tcW w:w="1418" w:type="dxa"/>
            <w:noWrap/>
            <w:hideMark/>
          </w:tcPr>
          <w:p w14:paraId="044BD812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0,9%</w:t>
            </w:r>
          </w:p>
        </w:tc>
        <w:tc>
          <w:tcPr>
            <w:tcW w:w="1417" w:type="dxa"/>
            <w:noWrap/>
            <w:hideMark/>
          </w:tcPr>
          <w:p w14:paraId="6CACDE3D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2,0%</w:t>
            </w:r>
          </w:p>
        </w:tc>
        <w:tc>
          <w:tcPr>
            <w:tcW w:w="1134" w:type="dxa"/>
            <w:noWrap/>
            <w:hideMark/>
          </w:tcPr>
          <w:p w14:paraId="3ED6B0BD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10,4%</w:t>
            </w:r>
          </w:p>
        </w:tc>
        <w:tc>
          <w:tcPr>
            <w:tcW w:w="992" w:type="dxa"/>
            <w:noWrap/>
            <w:hideMark/>
          </w:tcPr>
          <w:p w14:paraId="4D470FC3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47,18%</w:t>
            </w:r>
          </w:p>
        </w:tc>
      </w:tr>
      <w:tr w:rsidR="00E97E2E" w:rsidRPr="00E97E2E" w14:paraId="79E5B7D9" w14:textId="77777777" w:rsidTr="00FD20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B721BF7" w14:textId="77777777" w:rsidR="00E97E2E" w:rsidRPr="00E97E2E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  <w:t>Kamaniņu sports</w:t>
            </w:r>
          </w:p>
        </w:tc>
        <w:tc>
          <w:tcPr>
            <w:tcW w:w="1276" w:type="dxa"/>
            <w:noWrap/>
            <w:hideMark/>
          </w:tcPr>
          <w:p w14:paraId="33A787A2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16,2%</w:t>
            </w:r>
          </w:p>
        </w:tc>
        <w:tc>
          <w:tcPr>
            <w:tcW w:w="1134" w:type="dxa"/>
            <w:noWrap/>
            <w:hideMark/>
          </w:tcPr>
          <w:p w14:paraId="3D0B0E78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0,5%</w:t>
            </w:r>
          </w:p>
        </w:tc>
        <w:tc>
          <w:tcPr>
            <w:tcW w:w="1275" w:type="dxa"/>
            <w:noWrap/>
            <w:hideMark/>
          </w:tcPr>
          <w:p w14:paraId="6C36E968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0,03%</w:t>
            </w:r>
          </w:p>
        </w:tc>
        <w:tc>
          <w:tcPr>
            <w:tcW w:w="1418" w:type="dxa"/>
            <w:noWrap/>
            <w:hideMark/>
          </w:tcPr>
          <w:p w14:paraId="11A5367E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0,3%</w:t>
            </w:r>
          </w:p>
        </w:tc>
        <w:tc>
          <w:tcPr>
            <w:tcW w:w="1134" w:type="dxa"/>
            <w:noWrap/>
            <w:hideMark/>
          </w:tcPr>
          <w:p w14:paraId="0A282F0F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14,9%</w:t>
            </w:r>
          </w:p>
        </w:tc>
        <w:tc>
          <w:tcPr>
            <w:tcW w:w="1197" w:type="dxa"/>
            <w:noWrap/>
            <w:hideMark/>
          </w:tcPr>
          <w:p w14:paraId="42A1F72A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0,4%</w:t>
            </w:r>
          </w:p>
        </w:tc>
        <w:tc>
          <w:tcPr>
            <w:tcW w:w="929" w:type="dxa"/>
            <w:noWrap/>
            <w:hideMark/>
          </w:tcPr>
          <w:p w14:paraId="5A93E03F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7,8%</w:t>
            </w:r>
          </w:p>
        </w:tc>
        <w:tc>
          <w:tcPr>
            <w:tcW w:w="1418" w:type="dxa"/>
            <w:noWrap/>
            <w:hideMark/>
          </w:tcPr>
          <w:p w14:paraId="760EB07E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1,6%</w:t>
            </w:r>
          </w:p>
        </w:tc>
        <w:tc>
          <w:tcPr>
            <w:tcW w:w="1417" w:type="dxa"/>
            <w:noWrap/>
            <w:hideMark/>
          </w:tcPr>
          <w:p w14:paraId="2C95C949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2,0%</w:t>
            </w:r>
          </w:p>
        </w:tc>
        <w:tc>
          <w:tcPr>
            <w:tcW w:w="1134" w:type="dxa"/>
            <w:noWrap/>
            <w:hideMark/>
          </w:tcPr>
          <w:p w14:paraId="0957C493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11,2%</w:t>
            </w:r>
          </w:p>
        </w:tc>
        <w:tc>
          <w:tcPr>
            <w:tcW w:w="992" w:type="dxa"/>
            <w:noWrap/>
            <w:hideMark/>
          </w:tcPr>
          <w:p w14:paraId="071CE0B8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54,92%</w:t>
            </w:r>
          </w:p>
        </w:tc>
      </w:tr>
      <w:tr w:rsidR="00E97E2E" w:rsidRPr="00E97E2E" w14:paraId="4CF6EDA1" w14:textId="77777777" w:rsidTr="00FD20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CCB0B32" w14:textId="77777777" w:rsidR="00E97E2E" w:rsidRPr="00E97E2E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  <w:t>Daiļslidošana</w:t>
            </w:r>
          </w:p>
        </w:tc>
        <w:tc>
          <w:tcPr>
            <w:tcW w:w="1276" w:type="dxa"/>
            <w:noWrap/>
            <w:hideMark/>
          </w:tcPr>
          <w:p w14:paraId="147977AD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10,4%</w:t>
            </w:r>
          </w:p>
        </w:tc>
        <w:tc>
          <w:tcPr>
            <w:tcW w:w="1134" w:type="dxa"/>
            <w:noWrap/>
            <w:hideMark/>
          </w:tcPr>
          <w:p w14:paraId="12F0DABA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1,7%</w:t>
            </w:r>
          </w:p>
        </w:tc>
        <w:tc>
          <w:tcPr>
            <w:tcW w:w="1275" w:type="dxa"/>
            <w:noWrap/>
            <w:hideMark/>
          </w:tcPr>
          <w:p w14:paraId="3D03D1DC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0,28%</w:t>
            </w:r>
          </w:p>
        </w:tc>
        <w:tc>
          <w:tcPr>
            <w:tcW w:w="1418" w:type="dxa"/>
            <w:noWrap/>
            <w:hideMark/>
          </w:tcPr>
          <w:p w14:paraId="5696B8EA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0,7%</w:t>
            </w:r>
          </w:p>
        </w:tc>
        <w:tc>
          <w:tcPr>
            <w:tcW w:w="1134" w:type="dxa"/>
            <w:noWrap/>
            <w:hideMark/>
          </w:tcPr>
          <w:p w14:paraId="6F40DA99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7,7%</w:t>
            </w:r>
          </w:p>
        </w:tc>
        <w:tc>
          <w:tcPr>
            <w:tcW w:w="1197" w:type="dxa"/>
            <w:noWrap/>
            <w:hideMark/>
          </w:tcPr>
          <w:p w14:paraId="260F0782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0,4%</w:t>
            </w:r>
          </w:p>
        </w:tc>
        <w:tc>
          <w:tcPr>
            <w:tcW w:w="929" w:type="dxa"/>
            <w:noWrap/>
            <w:hideMark/>
          </w:tcPr>
          <w:p w14:paraId="299FDDAB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14,2%</w:t>
            </w:r>
          </w:p>
        </w:tc>
        <w:tc>
          <w:tcPr>
            <w:tcW w:w="1418" w:type="dxa"/>
            <w:noWrap/>
            <w:hideMark/>
          </w:tcPr>
          <w:p w14:paraId="7507C1FC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0,0%</w:t>
            </w:r>
          </w:p>
        </w:tc>
        <w:tc>
          <w:tcPr>
            <w:tcW w:w="1417" w:type="dxa"/>
            <w:noWrap/>
            <w:hideMark/>
          </w:tcPr>
          <w:p w14:paraId="45A9CAB8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2,0%</w:t>
            </w:r>
          </w:p>
        </w:tc>
        <w:tc>
          <w:tcPr>
            <w:tcW w:w="1134" w:type="dxa"/>
            <w:noWrap/>
            <w:hideMark/>
          </w:tcPr>
          <w:p w14:paraId="1DD2DD85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12,0%</w:t>
            </w:r>
          </w:p>
        </w:tc>
        <w:tc>
          <w:tcPr>
            <w:tcW w:w="992" w:type="dxa"/>
            <w:noWrap/>
            <w:hideMark/>
          </w:tcPr>
          <w:p w14:paraId="3D8907A4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49,43%</w:t>
            </w:r>
          </w:p>
        </w:tc>
      </w:tr>
      <w:tr w:rsidR="00E97E2E" w:rsidRPr="00E97E2E" w14:paraId="65F955D5" w14:textId="77777777" w:rsidTr="00FD20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807052B" w14:textId="77777777" w:rsidR="00E97E2E" w:rsidRPr="00E97E2E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  <w:t>Distanču slēpošana</w:t>
            </w:r>
          </w:p>
        </w:tc>
        <w:tc>
          <w:tcPr>
            <w:tcW w:w="1276" w:type="dxa"/>
            <w:noWrap/>
            <w:hideMark/>
          </w:tcPr>
          <w:p w14:paraId="005E07A2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7,0%</w:t>
            </w:r>
          </w:p>
        </w:tc>
        <w:tc>
          <w:tcPr>
            <w:tcW w:w="1134" w:type="dxa"/>
            <w:noWrap/>
            <w:hideMark/>
          </w:tcPr>
          <w:p w14:paraId="3257907E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3,2%</w:t>
            </w:r>
          </w:p>
        </w:tc>
        <w:tc>
          <w:tcPr>
            <w:tcW w:w="1275" w:type="dxa"/>
            <w:noWrap/>
            <w:hideMark/>
          </w:tcPr>
          <w:p w14:paraId="644F05EB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1,0%</w:t>
            </w:r>
          </w:p>
        </w:tc>
        <w:tc>
          <w:tcPr>
            <w:tcW w:w="1418" w:type="dxa"/>
            <w:noWrap/>
            <w:hideMark/>
          </w:tcPr>
          <w:p w14:paraId="46A2EFEC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2,5%</w:t>
            </w:r>
          </w:p>
        </w:tc>
        <w:tc>
          <w:tcPr>
            <w:tcW w:w="1134" w:type="dxa"/>
            <w:noWrap/>
            <w:hideMark/>
          </w:tcPr>
          <w:p w14:paraId="73DB0B9F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7,2%</w:t>
            </w:r>
          </w:p>
        </w:tc>
        <w:tc>
          <w:tcPr>
            <w:tcW w:w="1197" w:type="dxa"/>
            <w:noWrap/>
            <w:hideMark/>
          </w:tcPr>
          <w:p w14:paraId="3559B944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4,0%</w:t>
            </w:r>
          </w:p>
        </w:tc>
        <w:tc>
          <w:tcPr>
            <w:tcW w:w="929" w:type="dxa"/>
            <w:noWrap/>
            <w:hideMark/>
          </w:tcPr>
          <w:p w14:paraId="4E252BC3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12,2%</w:t>
            </w:r>
          </w:p>
        </w:tc>
        <w:tc>
          <w:tcPr>
            <w:tcW w:w="1418" w:type="dxa"/>
            <w:noWrap/>
            <w:hideMark/>
          </w:tcPr>
          <w:p w14:paraId="030CAB50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0,0%</w:t>
            </w:r>
          </w:p>
        </w:tc>
        <w:tc>
          <w:tcPr>
            <w:tcW w:w="1417" w:type="dxa"/>
            <w:noWrap/>
            <w:hideMark/>
          </w:tcPr>
          <w:p w14:paraId="1814DCE1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2,0%</w:t>
            </w:r>
          </w:p>
        </w:tc>
        <w:tc>
          <w:tcPr>
            <w:tcW w:w="1134" w:type="dxa"/>
            <w:noWrap/>
            <w:hideMark/>
          </w:tcPr>
          <w:p w14:paraId="736A5BC9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12,8%</w:t>
            </w:r>
          </w:p>
        </w:tc>
        <w:tc>
          <w:tcPr>
            <w:tcW w:w="992" w:type="dxa"/>
            <w:noWrap/>
            <w:hideMark/>
          </w:tcPr>
          <w:p w14:paraId="525019C4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51,77%</w:t>
            </w:r>
          </w:p>
        </w:tc>
      </w:tr>
      <w:tr w:rsidR="00E97E2E" w:rsidRPr="00E97E2E" w14:paraId="42520763" w14:textId="77777777" w:rsidTr="00FD201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95EC038" w14:textId="77777777" w:rsidR="00E97E2E" w:rsidRPr="00E97E2E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  <w:t>Tramplīnlēkšana</w:t>
            </w:r>
          </w:p>
        </w:tc>
        <w:tc>
          <w:tcPr>
            <w:tcW w:w="1276" w:type="dxa"/>
            <w:noWrap/>
            <w:hideMark/>
          </w:tcPr>
          <w:p w14:paraId="3300F724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1,0%</w:t>
            </w:r>
          </w:p>
        </w:tc>
        <w:tc>
          <w:tcPr>
            <w:tcW w:w="1134" w:type="dxa"/>
            <w:noWrap/>
            <w:hideMark/>
          </w:tcPr>
          <w:p w14:paraId="4715EEE7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0,0%</w:t>
            </w:r>
          </w:p>
        </w:tc>
        <w:tc>
          <w:tcPr>
            <w:tcW w:w="1275" w:type="dxa"/>
            <w:noWrap/>
            <w:hideMark/>
          </w:tcPr>
          <w:p w14:paraId="2F7AF10E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0,0%</w:t>
            </w:r>
          </w:p>
        </w:tc>
        <w:tc>
          <w:tcPr>
            <w:tcW w:w="1418" w:type="dxa"/>
            <w:noWrap/>
            <w:hideMark/>
          </w:tcPr>
          <w:p w14:paraId="1A7E7776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0,1%</w:t>
            </w:r>
          </w:p>
        </w:tc>
        <w:tc>
          <w:tcPr>
            <w:tcW w:w="1134" w:type="dxa"/>
            <w:noWrap/>
            <w:hideMark/>
          </w:tcPr>
          <w:p w14:paraId="00B9A763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0,2%</w:t>
            </w:r>
          </w:p>
        </w:tc>
        <w:tc>
          <w:tcPr>
            <w:tcW w:w="1197" w:type="dxa"/>
            <w:noWrap/>
            <w:hideMark/>
          </w:tcPr>
          <w:p w14:paraId="6D57394F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0,0%</w:t>
            </w:r>
          </w:p>
        </w:tc>
        <w:tc>
          <w:tcPr>
            <w:tcW w:w="929" w:type="dxa"/>
            <w:noWrap/>
            <w:hideMark/>
          </w:tcPr>
          <w:p w14:paraId="463E7C51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16,0%</w:t>
            </w:r>
          </w:p>
        </w:tc>
        <w:tc>
          <w:tcPr>
            <w:tcW w:w="1418" w:type="dxa"/>
            <w:noWrap/>
            <w:hideMark/>
          </w:tcPr>
          <w:p w14:paraId="6634151A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0,0%</w:t>
            </w:r>
          </w:p>
        </w:tc>
        <w:tc>
          <w:tcPr>
            <w:tcW w:w="1417" w:type="dxa"/>
            <w:noWrap/>
            <w:hideMark/>
          </w:tcPr>
          <w:p w14:paraId="771A72F0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2,0%</w:t>
            </w:r>
          </w:p>
        </w:tc>
        <w:tc>
          <w:tcPr>
            <w:tcW w:w="1134" w:type="dxa"/>
            <w:noWrap/>
            <w:hideMark/>
          </w:tcPr>
          <w:p w14:paraId="4CB861FD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0,0%</w:t>
            </w:r>
          </w:p>
        </w:tc>
        <w:tc>
          <w:tcPr>
            <w:tcW w:w="992" w:type="dxa"/>
            <w:noWrap/>
            <w:hideMark/>
          </w:tcPr>
          <w:p w14:paraId="58940A0A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19,23%</w:t>
            </w:r>
          </w:p>
        </w:tc>
      </w:tr>
      <w:tr w:rsidR="00E97E2E" w:rsidRPr="00E97E2E" w14:paraId="48033E04" w14:textId="77777777" w:rsidTr="00FD201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FF22E10" w14:textId="77777777" w:rsidR="00E97E2E" w:rsidRPr="00FD2012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14"/>
                <w:lang w:eastAsia="lv-LV"/>
              </w:rPr>
            </w:pPr>
          </w:p>
        </w:tc>
        <w:tc>
          <w:tcPr>
            <w:tcW w:w="1276" w:type="dxa"/>
            <w:noWrap/>
            <w:hideMark/>
          </w:tcPr>
          <w:p w14:paraId="68DE187E" w14:textId="77777777" w:rsidR="00E97E2E" w:rsidRPr="00FD2012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20"/>
                <w:lang w:eastAsia="lv-LV"/>
              </w:rPr>
            </w:pPr>
          </w:p>
        </w:tc>
        <w:tc>
          <w:tcPr>
            <w:tcW w:w="1134" w:type="dxa"/>
            <w:noWrap/>
            <w:hideMark/>
          </w:tcPr>
          <w:p w14:paraId="2B5E7D34" w14:textId="77777777" w:rsidR="00E97E2E" w:rsidRPr="00FD2012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20"/>
                <w:lang w:eastAsia="lv-LV"/>
              </w:rPr>
            </w:pPr>
          </w:p>
        </w:tc>
        <w:tc>
          <w:tcPr>
            <w:tcW w:w="1275" w:type="dxa"/>
            <w:noWrap/>
            <w:hideMark/>
          </w:tcPr>
          <w:p w14:paraId="62F60F27" w14:textId="77777777" w:rsidR="00E97E2E" w:rsidRPr="00FD2012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20"/>
                <w:lang w:eastAsia="lv-LV"/>
              </w:rPr>
            </w:pPr>
          </w:p>
        </w:tc>
        <w:tc>
          <w:tcPr>
            <w:tcW w:w="1418" w:type="dxa"/>
            <w:noWrap/>
            <w:hideMark/>
          </w:tcPr>
          <w:p w14:paraId="14B02E27" w14:textId="77777777" w:rsidR="00E97E2E" w:rsidRPr="00FD2012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20"/>
                <w:lang w:eastAsia="lv-LV"/>
              </w:rPr>
            </w:pPr>
          </w:p>
        </w:tc>
        <w:tc>
          <w:tcPr>
            <w:tcW w:w="1134" w:type="dxa"/>
            <w:noWrap/>
            <w:hideMark/>
          </w:tcPr>
          <w:p w14:paraId="45E73F9F" w14:textId="77777777" w:rsidR="00E97E2E" w:rsidRPr="00FD2012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20"/>
                <w:lang w:eastAsia="lv-LV"/>
              </w:rPr>
            </w:pPr>
          </w:p>
        </w:tc>
        <w:tc>
          <w:tcPr>
            <w:tcW w:w="1197" w:type="dxa"/>
            <w:noWrap/>
            <w:hideMark/>
          </w:tcPr>
          <w:p w14:paraId="53808C1B" w14:textId="77777777" w:rsidR="00E97E2E" w:rsidRPr="00FD2012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20"/>
                <w:lang w:eastAsia="lv-LV"/>
              </w:rPr>
            </w:pPr>
          </w:p>
        </w:tc>
        <w:tc>
          <w:tcPr>
            <w:tcW w:w="929" w:type="dxa"/>
            <w:noWrap/>
            <w:hideMark/>
          </w:tcPr>
          <w:p w14:paraId="058BBD61" w14:textId="77777777" w:rsidR="00E97E2E" w:rsidRPr="00FD2012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20"/>
                <w:lang w:eastAsia="lv-LV"/>
              </w:rPr>
            </w:pPr>
          </w:p>
        </w:tc>
        <w:tc>
          <w:tcPr>
            <w:tcW w:w="1418" w:type="dxa"/>
            <w:noWrap/>
            <w:hideMark/>
          </w:tcPr>
          <w:p w14:paraId="5CECF659" w14:textId="77777777" w:rsidR="00E97E2E" w:rsidRPr="00FD2012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14:paraId="09B39272" w14:textId="77777777" w:rsidR="00E97E2E" w:rsidRPr="00FD2012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20"/>
                <w:lang w:eastAsia="lv-LV"/>
              </w:rPr>
            </w:pPr>
          </w:p>
        </w:tc>
        <w:tc>
          <w:tcPr>
            <w:tcW w:w="1134" w:type="dxa"/>
            <w:noWrap/>
            <w:hideMark/>
          </w:tcPr>
          <w:p w14:paraId="4905D849" w14:textId="77777777" w:rsidR="00E97E2E" w:rsidRPr="00FD2012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hideMark/>
          </w:tcPr>
          <w:p w14:paraId="00473D31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E97E2E" w:rsidRPr="00E97E2E" w14:paraId="179C20DE" w14:textId="77777777" w:rsidTr="00FD20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F6F08A7" w14:textId="77777777" w:rsidR="00E97E2E" w:rsidRPr="00E97E2E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 w:val="0"/>
                <w:lang w:eastAsia="lv-LV"/>
              </w:rPr>
              <w:t>Futbols</w:t>
            </w:r>
          </w:p>
        </w:tc>
        <w:tc>
          <w:tcPr>
            <w:tcW w:w="1276" w:type="dxa"/>
            <w:noWrap/>
            <w:hideMark/>
          </w:tcPr>
          <w:p w14:paraId="21ABD7CB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7,5%</w:t>
            </w:r>
          </w:p>
        </w:tc>
        <w:tc>
          <w:tcPr>
            <w:tcW w:w="1134" w:type="dxa"/>
            <w:noWrap/>
            <w:hideMark/>
          </w:tcPr>
          <w:p w14:paraId="58825A84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8,0%</w:t>
            </w:r>
          </w:p>
        </w:tc>
        <w:tc>
          <w:tcPr>
            <w:tcW w:w="1275" w:type="dxa"/>
            <w:noWrap/>
            <w:hideMark/>
          </w:tcPr>
          <w:p w14:paraId="1BD756A4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3,0%</w:t>
            </w:r>
          </w:p>
        </w:tc>
        <w:tc>
          <w:tcPr>
            <w:tcW w:w="1418" w:type="dxa"/>
            <w:noWrap/>
            <w:hideMark/>
          </w:tcPr>
          <w:p w14:paraId="2F239F81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5,0%</w:t>
            </w:r>
          </w:p>
        </w:tc>
        <w:tc>
          <w:tcPr>
            <w:tcW w:w="1134" w:type="dxa"/>
            <w:noWrap/>
            <w:hideMark/>
          </w:tcPr>
          <w:p w14:paraId="04AAEE1C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2,7%</w:t>
            </w:r>
          </w:p>
        </w:tc>
        <w:tc>
          <w:tcPr>
            <w:tcW w:w="1197" w:type="dxa"/>
            <w:noWrap/>
            <w:hideMark/>
          </w:tcPr>
          <w:p w14:paraId="2C7D5E46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5,0%</w:t>
            </w:r>
          </w:p>
        </w:tc>
        <w:tc>
          <w:tcPr>
            <w:tcW w:w="929" w:type="dxa"/>
            <w:noWrap/>
            <w:hideMark/>
          </w:tcPr>
          <w:p w14:paraId="60965C73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20,0%</w:t>
            </w:r>
          </w:p>
        </w:tc>
        <w:tc>
          <w:tcPr>
            <w:tcW w:w="1418" w:type="dxa"/>
            <w:noWrap/>
            <w:hideMark/>
          </w:tcPr>
          <w:p w14:paraId="03658A63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0,0%</w:t>
            </w:r>
          </w:p>
        </w:tc>
        <w:tc>
          <w:tcPr>
            <w:tcW w:w="1417" w:type="dxa"/>
            <w:noWrap/>
            <w:hideMark/>
          </w:tcPr>
          <w:p w14:paraId="697AACF0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2,0%</w:t>
            </w:r>
          </w:p>
        </w:tc>
        <w:tc>
          <w:tcPr>
            <w:tcW w:w="1134" w:type="dxa"/>
            <w:noWrap/>
            <w:hideMark/>
          </w:tcPr>
          <w:p w14:paraId="22495D23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15,0%</w:t>
            </w:r>
          </w:p>
        </w:tc>
        <w:tc>
          <w:tcPr>
            <w:tcW w:w="992" w:type="dxa"/>
            <w:noWrap/>
            <w:hideMark/>
          </w:tcPr>
          <w:p w14:paraId="7386DB68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68,21%</w:t>
            </w:r>
          </w:p>
        </w:tc>
      </w:tr>
      <w:tr w:rsidR="00E97E2E" w:rsidRPr="00E97E2E" w14:paraId="112AAAA2" w14:textId="77777777" w:rsidTr="00FD20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BA59055" w14:textId="77777777" w:rsidR="00E97E2E" w:rsidRPr="00E97E2E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  <w:t>Basketbols</w:t>
            </w:r>
          </w:p>
        </w:tc>
        <w:tc>
          <w:tcPr>
            <w:tcW w:w="1276" w:type="dxa"/>
            <w:noWrap/>
            <w:hideMark/>
          </w:tcPr>
          <w:p w14:paraId="799EE2BE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16,1%</w:t>
            </w:r>
          </w:p>
        </w:tc>
        <w:tc>
          <w:tcPr>
            <w:tcW w:w="1134" w:type="dxa"/>
            <w:noWrap/>
            <w:hideMark/>
          </w:tcPr>
          <w:p w14:paraId="5F6D995E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8,0%</w:t>
            </w:r>
          </w:p>
        </w:tc>
        <w:tc>
          <w:tcPr>
            <w:tcW w:w="1275" w:type="dxa"/>
            <w:noWrap/>
            <w:hideMark/>
          </w:tcPr>
          <w:p w14:paraId="0AA19F37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3,0%</w:t>
            </w:r>
          </w:p>
        </w:tc>
        <w:tc>
          <w:tcPr>
            <w:tcW w:w="1418" w:type="dxa"/>
            <w:noWrap/>
            <w:hideMark/>
          </w:tcPr>
          <w:p w14:paraId="7565C251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5,0%</w:t>
            </w:r>
          </w:p>
        </w:tc>
        <w:tc>
          <w:tcPr>
            <w:tcW w:w="1134" w:type="dxa"/>
            <w:noWrap/>
            <w:hideMark/>
          </w:tcPr>
          <w:p w14:paraId="5BDC8640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14,4%</w:t>
            </w:r>
          </w:p>
        </w:tc>
        <w:tc>
          <w:tcPr>
            <w:tcW w:w="1197" w:type="dxa"/>
            <w:noWrap/>
            <w:hideMark/>
          </w:tcPr>
          <w:p w14:paraId="36172396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5,0%</w:t>
            </w:r>
          </w:p>
        </w:tc>
        <w:tc>
          <w:tcPr>
            <w:tcW w:w="929" w:type="dxa"/>
            <w:noWrap/>
            <w:hideMark/>
          </w:tcPr>
          <w:p w14:paraId="30BCFF45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19,8%</w:t>
            </w:r>
          </w:p>
        </w:tc>
        <w:tc>
          <w:tcPr>
            <w:tcW w:w="1418" w:type="dxa"/>
            <w:noWrap/>
            <w:hideMark/>
          </w:tcPr>
          <w:p w14:paraId="5D99C25F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1,6%</w:t>
            </w:r>
          </w:p>
        </w:tc>
        <w:tc>
          <w:tcPr>
            <w:tcW w:w="1417" w:type="dxa"/>
            <w:noWrap/>
            <w:hideMark/>
          </w:tcPr>
          <w:p w14:paraId="6EC29B36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3,0%</w:t>
            </w:r>
          </w:p>
        </w:tc>
        <w:tc>
          <w:tcPr>
            <w:tcW w:w="1134" w:type="dxa"/>
            <w:noWrap/>
            <w:hideMark/>
          </w:tcPr>
          <w:p w14:paraId="3AC96B9E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14,4%</w:t>
            </w:r>
          </w:p>
        </w:tc>
        <w:tc>
          <w:tcPr>
            <w:tcW w:w="992" w:type="dxa"/>
            <w:noWrap/>
            <w:hideMark/>
          </w:tcPr>
          <w:p w14:paraId="5C324FC2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90,30%</w:t>
            </w:r>
          </w:p>
        </w:tc>
      </w:tr>
      <w:tr w:rsidR="00E97E2E" w:rsidRPr="00E97E2E" w14:paraId="52654FFC" w14:textId="77777777" w:rsidTr="00FD20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CE0C492" w14:textId="77777777" w:rsidR="00E97E2E" w:rsidRPr="00E97E2E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  <w:t>Hokejs</w:t>
            </w:r>
          </w:p>
        </w:tc>
        <w:tc>
          <w:tcPr>
            <w:tcW w:w="1276" w:type="dxa"/>
            <w:noWrap/>
            <w:hideMark/>
          </w:tcPr>
          <w:p w14:paraId="45E1E5F6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13,5%</w:t>
            </w:r>
          </w:p>
        </w:tc>
        <w:tc>
          <w:tcPr>
            <w:tcW w:w="1134" w:type="dxa"/>
            <w:noWrap/>
            <w:hideMark/>
          </w:tcPr>
          <w:p w14:paraId="063FEECE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6,7%</w:t>
            </w:r>
          </w:p>
        </w:tc>
        <w:tc>
          <w:tcPr>
            <w:tcW w:w="1275" w:type="dxa"/>
            <w:noWrap/>
            <w:hideMark/>
          </w:tcPr>
          <w:p w14:paraId="5DB8FF8B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0,4%</w:t>
            </w:r>
          </w:p>
        </w:tc>
        <w:tc>
          <w:tcPr>
            <w:tcW w:w="1418" w:type="dxa"/>
            <w:noWrap/>
            <w:hideMark/>
          </w:tcPr>
          <w:p w14:paraId="1D3065DE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3,5%</w:t>
            </w:r>
          </w:p>
        </w:tc>
        <w:tc>
          <w:tcPr>
            <w:tcW w:w="1134" w:type="dxa"/>
            <w:noWrap/>
            <w:hideMark/>
          </w:tcPr>
          <w:p w14:paraId="64C0BE7A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10,8%</w:t>
            </w:r>
          </w:p>
        </w:tc>
        <w:tc>
          <w:tcPr>
            <w:tcW w:w="1197" w:type="dxa"/>
            <w:noWrap/>
            <w:hideMark/>
          </w:tcPr>
          <w:p w14:paraId="51583D70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5,0%</w:t>
            </w:r>
          </w:p>
        </w:tc>
        <w:tc>
          <w:tcPr>
            <w:tcW w:w="929" w:type="dxa"/>
            <w:noWrap/>
            <w:hideMark/>
          </w:tcPr>
          <w:p w14:paraId="4139D9D7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17,8%</w:t>
            </w:r>
          </w:p>
        </w:tc>
        <w:tc>
          <w:tcPr>
            <w:tcW w:w="1418" w:type="dxa"/>
            <w:noWrap/>
            <w:hideMark/>
          </w:tcPr>
          <w:p w14:paraId="6366D303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2,5%</w:t>
            </w:r>
          </w:p>
        </w:tc>
        <w:tc>
          <w:tcPr>
            <w:tcW w:w="1417" w:type="dxa"/>
            <w:noWrap/>
            <w:hideMark/>
          </w:tcPr>
          <w:p w14:paraId="7ABA05FC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3,0%</w:t>
            </w:r>
          </w:p>
        </w:tc>
        <w:tc>
          <w:tcPr>
            <w:tcW w:w="1134" w:type="dxa"/>
            <w:noWrap/>
            <w:hideMark/>
          </w:tcPr>
          <w:p w14:paraId="4D8483F7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13,6%</w:t>
            </w:r>
          </w:p>
        </w:tc>
        <w:tc>
          <w:tcPr>
            <w:tcW w:w="992" w:type="dxa"/>
            <w:noWrap/>
            <w:hideMark/>
          </w:tcPr>
          <w:p w14:paraId="6FC77877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76,77%</w:t>
            </w:r>
          </w:p>
        </w:tc>
      </w:tr>
      <w:tr w:rsidR="00E97E2E" w:rsidRPr="00E97E2E" w14:paraId="01D5A296" w14:textId="77777777" w:rsidTr="00FD20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13BA5FF9" w14:textId="77777777" w:rsidR="00E97E2E" w:rsidRPr="00E97E2E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</w:pPr>
            <w:proofErr w:type="spellStart"/>
            <w:r w:rsidRPr="00E97E2E"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  <w:t>Kērlings</w:t>
            </w:r>
            <w:proofErr w:type="spellEnd"/>
          </w:p>
        </w:tc>
        <w:tc>
          <w:tcPr>
            <w:tcW w:w="1276" w:type="dxa"/>
            <w:noWrap/>
            <w:hideMark/>
          </w:tcPr>
          <w:p w14:paraId="70009CBC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14,4%</w:t>
            </w:r>
          </w:p>
        </w:tc>
        <w:tc>
          <w:tcPr>
            <w:tcW w:w="1134" w:type="dxa"/>
            <w:noWrap/>
            <w:hideMark/>
          </w:tcPr>
          <w:p w14:paraId="6289CADC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0,3%</w:t>
            </w:r>
          </w:p>
        </w:tc>
        <w:tc>
          <w:tcPr>
            <w:tcW w:w="1275" w:type="dxa"/>
            <w:noWrap/>
            <w:hideMark/>
          </w:tcPr>
          <w:p w14:paraId="5B384FC8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0,1%</w:t>
            </w:r>
          </w:p>
        </w:tc>
        <w:tc>
          <w:tcPr>
            <w:tcW w:w="1418" w:type="dxa"/>
            <w:noWrap/>
            <w:hideMark/>
          </w:tcPr>
          <w:p w14:paraId="1A59A125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1,0%</w:t>
            </w:r>
          </w:p>
        </w:tc>
        <w:tc>
          <w:tcPr>
            <w:tcW w:w="1134" w:type="dxa"/>
            <w:noWrap/>
            <w:hideMark/>
          </w:tcPr>
          <w:p w14:paraId="7B87DB16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9,0%</w:t>
            </w:r>
          </w:p>
        </w:tc>
        <w:tc>
          <w:tcPr>
            <w:tcW w:w="1197" w:type="dxa"/>
            <w:noWrap/>
            <w:hideMark/>
          </w:tcPr>
          <w:p w14:paraId="25ECC23F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4,5%</w:t>
            </w:r>
          </w:p>
        </w:tc>
        <w:tc>
          <w:tcPr>
            <w:tcW w:w="929" w:type="dxa"/>
            <w:noWrap/>
            <w:hideMark/>
          </w:tcPr>
          <w:p w14:paraId="06E4AA0E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9,6%</w:t>
            </w:r>
          </w:p>
        </w:tc>
        <w:tc>
          <w:tcPr>
            <w:tcW w:w="1418" w:type="dxa"/>
            <w:noWrap/>
            <w:hideMark/>
          </w:tcPr>
          <w:p w14:paraId="0D5C9349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2,6%</w:t>
            </w:r>
          </w:p>
        </w:tc>
        <w:tc>
          <w:tcPr>
            <w:tcW w:w="1417" w:type="dxa"/>
            <w:noWrap/>
            <w:hideMark/>
          </w:tcPr>
          <w:p w14:paraId="338B13D7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3,0%</w:t>
            </w:r>
          </w:p>
        </w:tc>
        <w:tc>
          <w:tcPr>
            <w:tcW w:w="1134" w:type="dxa"/>
            <w:noWrap/>
            <w:hideMark/>
          </w:tcPr>
          <w:p w14:paraId="7984DB0B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6,0%</w:t>
            </w:r>
          </w:p>
        </w:tc>
        <w:tc>
          <w:tcPr>
            <w:tcW w:w="992" w:type="dxa"/>
            <w:noWrap/>
            <w:hideMark/>
          </w:tcPr>
          <w:p w14:paraId="78D4412F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50,43%</w:t>
            </w:r>
          </w:p>
        </w:tc>
      </w:tr>
      <w:tr w:rsidR="00E97E2E" w:rsidRPr="00E97E2E" w14:paraId="710224B9" w14:textId="77777777" w:rsidTr="00FD20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BCB075D" w14:textId="77777777" w:rsidR="00E97E2E" w:rsidRPr="00E97E2E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  <w:t>Regbijs</w:t>
            </w:r>
          </w:p>
        </w:tc>
        <w:tc>
          <w:tcPr>
            <w:tcW w:w="1276" w:type="dxa"/>
            <w:noWrap/>
            <w:hideMark/>
          </w:tcPr>
          <w:p w14:paraId="36E687CE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5,5%</w:t>
            </w:r>
          </w:p>
        </w:tc>
        <w:tc>
          <w:tcPr>
            <w:tcW w:w="1134" w:type="dxa"/>
            <w:noWrap/>
            <w:hideMark/>
          </w:tcPr>
          <w:p w14:paraId="44F4AE8C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1,9%</w:t>
            </w:r>
          </w:p>
        </w:tc>
        <w:tc>
          <w:tcPr>
            <w:tcW w:w="1275" w:type="dxa"/>
            <w:noWrap/>
            <w:hideMark/>
          </w:tcPr>
          <w:p w14:paraId="79D8F9FC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0,6%</w:t>
            </w:r>
          </w:p>
        </w:tc>
        <w:tc>
          <w:tcPr>
            <w:tcW w:w="1418" w:type="dxa"/>
            <w:noWrap/>
            <w:hideMark/>
          </w:tcPr>
          <w:p w14:paraId="13FB438B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2,5%</w:t>
            </w:r>
          </w:p>
        </w:tc>
        <w:tc>
          <w:tcPr>
            <w:tcW w:w="1134" w:type="dxa"/>
            <w:noWrap/>
            <w:hideMark/>
          </w:tcPr>
          <w:p w14:paraId="295ADCE0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6,3%</w:t>
            </w:r>
          </w:p>
        </w:tc>
        <w:tc>
          <w:tcPr>
            <w:tcW w:w="1197" w:type="dxa"/>
            <w:noWrap/>
            <w:hideMark/>
          </w:tcPr>
          <w:p w14:paraId="1DD84BC1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1,4%</w:t>
            </w:r>
          </w:p>
        </w:tc>
        <w:tc>
          <w:tcPr>
            <w:tcW w:w="929" w:type="dxa"/>
            <w:noWrap/>
            <w:hideMark/>
          </w:tcPr>
          <w:p w14:paraId="0DDEDE71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13,2%</w:t>
            </w:r>
          </w:p>
        </w:tc>
        <w:tc>
          <w:tcPr>
            <w:tcW w:w="1418" w:type="dxa"/>
            <w:noWrap/>
            <w:hideMark/>
          </w:tcPr>
          <w:p w14:paraId="3A0858C9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3,0%</w:t>
            </w:r>
          </w:p>
        </w:tc>
        <w:tc>
          <w:tcPr>
            <w:tcW w:w="1417" w:type="dxa"/>
            <w:noWrap/>
            <w:hideMark/>
          </w:tcPr>
          <w:p w14:paraId="6D42F8A6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2,0%</w:t>
            </w:r>
          </w:p>
        </w:tc>
        <w:tc>
          <w:tcPr>
            <w:tcW w:w="1134" w:type="dxa"/>
            <w:noWrap/>
            <w:hideMark/>
          </w:tcPr>
          <w:p w14:paraId="3D49EC25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7,1%</w:t>
            </w:r>
          </w:p>
        </w:tc>
        <w:tc>
          <w:tcPr>
            <w:tcW w:w="992" w:type="dxa"/>
            <w:noWrap/>
            <w:hideMark/>
          </w:tcPr>
          <w:p w14:paraId="57F51A63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43,55%</w:t>
            </w:r>
          </w:p>
        </w:tc>
      </w:tr>
      <w:tr w:rsidR="00E97E2E" w:rsidRPr="00E97E2E" w14:paraId="1CF97C14" w14:textId="77777777" w:rsidTr="00FD201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A47C876" w14:textId="77777777" w:rsidR="00E97E2E" w:rsidRPr="00E97E2E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  <w:t>Florbols</w:t>
            </w:r>
          </w:p>
        </w:tc>
        <w:tc>
          <w:tcPr>
            <w:tcW w:w="1276" w:type="dxa"/>
            <w:noWrap/>
            <w:hideMark/>
          </w:tcPr>
          <w:p w14:paraId="2EE24F6E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16,8%</w:t>
            </w:r>
          </w:p>
        </w:tc>
        <w:tc>
          <w:tcPr>
            <w:tcW w:w="1134" w:type="dxa"/>
            <w:noWrap/>
            <w:hideMark/>
          </w:tcPr>
          <w:p w14:paraId="3B0DEC7A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6,5%</w:t>
            </w:r>
          </w:p>
        </w:tc>
        <w:tc>
          <w:tcPr>
            <w:tcW w:w="1275" w:type="dxa"/>
            <w:noWrap/>
            <w:hideMark/>
          </w:tcPr>
          <w:p w14:paraId="2035E308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2,6%</w:t>
            </w:r>
          </w:p>
        </w:tc>
        <w:tc>
          <w:tcPr>
            <w:tcW w:w="1418" w:type="dxa"/>
            <w:noWrap/>
            <w:hideMark/>
          </w:tcPr>
          <w:p w14:paraId="4E537429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5,0%</w:t>
            </w:r>
          </w:p>
        </w:tc>
        <w:tc>
          <w:tcPr>
            <w:tcW w:w="1134" w:type="dxa"/>
            <w:noWrap/>
            <w:hideMark/>
          </w:tcPr>
          <w:p w14:paraId="729C22F5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13,0%</w:t>
            </w:r>
          </w:p>
        </w:tc>
        <w:tc>
          <w:tcPr>
            <w:tcW w:w="1197" w:type="dxa"/>
            <w:noWrap/>
            <w:hideMark/>
          </w:tcPr>
          <w:p w14:paraId="6AF5F794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5,0%</w:t>
            </w:r>
          </w:p>
        </w:tc>
        <w:tc>
          <w:tcPr>
            <w:tcW w:w="929" w:type="dxa"/>
            <w:noWrap/>
            <w:hideMark/>
          </w:tcPr>
          <w:p w14:paraId="7927DC3A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4,0%</w:t>
            </w:r>
          </w:p>
        </w:tc>
        <w:tc>
          <w:tcPr>
            <w:tcW w:w="1418" w:type="dxa"/>
            <w:noWrap/>
            <w:hideMark/>
          </w:tcPr>
          <w:p w14:paraId="093899D4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3,0%</w:t>
            </w:r>
          </w:p>
        </w:tc>
        <w:tc>
          <w:tcPr>
            <w:tcW w:w="1417" w:type="dxa"/>
            <w:noWrap/>
            <w:hideMark/>
          </w:tcPr>
          <w:p w14:paraId="5B721E20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2,0%</w:t>
            </w:r>
          </w:p>
        </w:tc>
        <w:tc>
          <w:tcPr>
            <w:tcW w:w="1134" w:type="dxa"/>
            <w:noWrap/>
            <w:hideMark/>
          </w:tcPr>
          <w:p w14:paraId="43FA8FBC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11,5%</w:t>
            </w:r>
          </w:p>
        </w:tc>
        <w:tc>
          <w:tcPr>
            <w:tcW w:w="992" w:type="dxa"/>
            <w:noWrap/>
            <w:hideMark/>
          </w:tcPr>
          <w:p w14:paraId="7E68FE87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69,48%</w:t>
            </w:r>
          </w:p>
        </w:tc>
      </w:tr>
      <w:tr w:rsidR="00E97E2E" w:rsidRPr="00E97E2E" w14:paraId="795CBD1F" w14:textId="77777777" w:rsidTr="00FD2012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2A19C8A2" w14:textId="77777777" w:rsidR="00E97E2E" w:rsidRPr="00FD2012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14"/>
                <w:lang w:eastAsia="lv-LV"/>
              </w:rPr>
            </w:pPr>
          </w:p>
        </w:tc>
        <w:tc>
          <w:tcPr>
            <w:tcW w:w="1276" w:type="dxa"/>
            <w:noWrap/>
            <w:hideMark/>
          </w:tcPr>
          <w:p w14:paraId="3A32BFA0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noWrap/>
            <w:hideMark/>
          </w:tcPr>
          <w:p w14:paraId="47EE2F9F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noWrap/>
            <w:hideMark/>
          </w:tcPr>
          <w:p w14:paraId="17A5C014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noWrap/>
            <w:hideMark/>
          </w:tcPr>
          <w:p w14:paraId="4CC68686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noWrap/>
            <w:hideMark/>
          </w:tcPr>
          <w:p w14:paraId="7723928D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noWrap/>
            <w:hideMark/>
          </w:tcPr>
          <w:p w14:paraId="2ABA1D31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29" w:type="dxa"/>
            <w:noWrap/>
            <w:hideMark/>
          </w:tcPr>
          <w:p w14:paraId="40FE9EEB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noWrap/>
            <w:hideMark/>
          </w:tcPr>
          <w:p w14:paraId="0323671B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hideMark/>
          </w:tcPr>
          <w:p w14:paraId="00372019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noWrap/>
            <w:hideMark/>
          </w:tcPr>
          <w:p w14:paraId="5DD715C8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hideMark/>
          </w:tcPr>
          <w:p w14:paraId="1F6B7B0F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E97E2E" w:rsidRPr="00E97E2E" w14:paraId="0CB980F0" w14:textId="77777777" w:rsidTr="00FD20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75D043D2" w14:textId="77777777" w:rsidR="00E97E2E" w:rsidRPr="00E97E2E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  <w:t>Pludmales volejbols</w:t>
            </w:r>
          </w:p>
        </w:tc>
        <w:tc>
          <w:tcPr>
            <w:tcW w:w="1276" w:type="dxa"/>
            <w:noWrap/>
            <w:hideMark/>
          </w:tcPr>
          <w:p w14:paraId="51C6CF57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16,2%</w:t>
            </w:r>
          </w:p>
        </w:tc>
        <w:tc>
          <w:tcPr>
            <w:tcW w:w="1134" w:type="dxa"/>
            <w:noWrap/>
            <w:hideMark/>
          </w:tcPr>
          <w:p w14:paraId="530D26C7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1,9%</w:t>
            </w:r>
          </w:p>
        </w:tc>
        <w:tc>
          <w:tcPr>
            <w:tcW w:w="1275" w:type="dxa"/>
            <w:noWrap/>
            <w:hideMark/>
          </w:tcPr>
          <w:p w14:paraId="3A9588E5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2,4%</w:t>
            </w:r>
          </w:p>
        </w:tc>
        <w:tc>
          <w:tcPr>
            <w:tcW w:w="1418" w:type="dxa"/>
            <w:noWrap/>
            <w:hideMark/>
          </w:tcPr>
          <w:p w14:paraId="15B1828D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3,0%</w:t>
            </w:r>
          </w:p>
        </w:tc>
        <w:tc>
          <w:tcPr>
            <w:tcW w:w="1134" w:type="dxa"/>
            <w:noWrap/>
            <w:hideMark/>
          </w:tcPr>
          <w:p w14:paraId="55EA0807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12,1%</w:t>
            </w:r>
          </w:p>
        </w:tc>
        <w:tc>
          <w:tcPr>
            <w:tcW w:w="1197" w:type="dxa"/>
            <w:noWrap/>
            <w:hideMark/>
          </w:tcPr>
          <w:p w14:paraId="0E42E636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4,0%</w:t>
            </w:r>
          </w:p>
        </w:tc>
        <w:tc>
          <w:tcPr>
            <w:tcW w:w="929" w:type="dxa"/>
            <w:noWrap/>
            <w:hideMark/>
          </w:tcPr>
          <w:p w14:paraId="37866E26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10,0%</w:t>
            </w:r>
          </w:p>
        </w:tc>
        <w:tc>
          <w:tcPr>
            <w:tcW w:w="1418" w:type="dxa"/>
            <w:noWrap/>
            <w:hideMark/>
          </w:tcPr>
          <w:p w14:paraId="3B3C7B0D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1,1%</w:t>
            </w:r>
          </w:p>
        </w:tc>
        <w:tc>
          <w:tcPr>
            <w:tcW w:w="1417" w:type="dxa"/>
            <w:noWrap/>
            <w:hideMark/>
          </w:tcPr>
          <w:p w14:paraId="1A4973FF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2,0%</w:t>
            </w:r>
          </w:p>
        </w:tc>
        <w:tc>
          <w:tcPr>
            <w:tcW w:w="1134" w:type="dxa"/>
            <w:noWrap/>
            <w:hideMark/>
          </w:tcPr>
          <w:p w14:paraId="0EF3C20D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13,9%</w:t>
            </w:r>
          </w:p>
        </w:tc>
        <w:tc>
          <w:tcPr>
            <w:tcW w:w="992" w:type="dxa"/>
            <w:noWrap/>
            <w:hideMark/>
          </w:tcPr>
          <w:p w14:paraId="386819FB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66,57%</w:t>
            </w:r>
          </w:p>
        </w:tc>
      </w:tr>
      <w:tr w:rsidR="00E97E2E" w:rsidRPr="00E97E2E" w14:paraId="72FCDA23" w14:textId="77777777" w:rsidTr="00FD20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39426FE" w14:textId="77777777" w:rsidR="00E97E2E" w:rsidRPr="00E97E2E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</w:pPr>
            <w:proofErr w:type="spellStart"/>
            <w:r w:rsidRPr="00E97E2E"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  <w:t>Svarcelšana</w:t>
            </w:r>
            <w:proofErr w:type="spellEnd"/>
          </w:p>
        </w:tc>
        <w:tc>
          <w:tcPr>
            <w:tcW w:w="1276" w:type="dxa"/>
            <w:noWrap/>
            <w:hideMark/>
          </w:tcPr>
          <w:p w14:paraId="25A8B3C5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18,0%</w:t>
            </w:r>
          </w:p>
        </w:tc>
        <w:tc>
          <w:tcPr>
            <w:tcW w:w="1134" w:type="dxa"/>
            <w:noWrap/>
            <w:hideMark/>
          </w:tcPr>
          <w:p w14:paraId="540549B5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1,2%</w:t>
            </w:r>
          </w:p>
        </w:tc>
        <w:tc>
          <w:tcPr>
            <w:tcW w:w="1275" w:type="dxa"/>
            <w:noWrap/>
            <w:hideMark/>
          </w:tcPr>
          <w:p w14:paraId="69E986FC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0,5%</w:t>
            </w:r>
          </w:p>
        </w:tc>
        <w:tc>
          <w:tcPr>
            <w:tcW w:w="1418" w:type="dxa"/>
            <w:noWrap/>
            <w:hideMark/>
          </w:tcPr>
          <w:p w14:paraId="3EEC5068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0,3%</w:t>
            </w:r>
          </w:p>
        </w:tc>
        <w:tc>
          <w:tcPr>
            <w:tcW w:w="1134" w:type="dxa"/>
            <w:noWrap/>
            <w:hideMark/>
          </w:tcPr>
          <w:p w14:paraId="0AD57DFA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13,9%</w:t>
            </w:r>
          </w:p>
        </w:tc>
        <w:tc>
          <w:tcPr>
            <w:tcW w:w="1197" w:type="dxa"/>
            <w:noWrap/>
            <w:hideMark/>
          </w:tcPr>
          <w:p w14:paraId="3B4E8B48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2,0%</w:t>
            </w:r>
          </w:p>
        </w:tc>
        <w:tc>
          <w:tcPr>
            <w:tcW w:w="929" w:type="dxa"/>
            <w:noWrap/>
            <w:hideMark/>
          </w:tcPr>
          <w:p w14:paraId="4F420A1E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13,4%</w:t>
            </w:r>
          </w:p>
        </w:tc>
        <w:tc>
          <w:tcPr>
            <w:tcW w:w="1418" w:type="dxa"/>
            <w:noWrap/>
            <w:hideMark/>
          </w:tcPr>
          <w:p w14:paraId="338B0D3F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1,7%</w:t>
            </w:r>
          </w:p>
        </w:tc>
        <w:tc>
          <w:tcPr>
            <w:tcW w:w="1417" w:type="dxa"/>
            <w:noWrap/>
            <w:hideMark/>
          </w:tcPr>
          <w:p w14:paraId="7887F663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2,0%</w:t>
            </w:r>
          </w:p>
        </w:tc>
        <w:tc>
          <w:tcPr>
            <w:tcW w:w="1134" w:type="dxa"/>
            <w:noWrap/>
            <w:hideMark/>
          </w:tcPr>
          <w:p w14:paraId="13041F44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9,5%</w:t>
            </w:r>
          </w:p>
        </w:tc>
        <w:tc>
          <w:tcPr>
            <w:tcW w:w="992" w:type="dxa"/>
            <w:noWrap/>
            <w:hideMark/>
          </w:tcPr>
          <w:p w14:paraId="20302B61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62,45%</w:t>
            </w:r>
          </w:p>
        </w:tc>
      </w:tr>
      <w:tr w:rsidR="00E97E2E" w:rsidRPr="00E97E2E" w14:paraId="5D203764" w14:textId="77777777" w:rsidTr="00FD20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9496FDE" w14:textId="77777777" w:rsidR="00E97E2E" w:rsidRPr="00E97E2E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  <w:t>Vieglatlētika</w:t>
            </w:r>
          </w:p>
        </w:tc>
        <w:tc>
          <w:tcPr>
            <w:tcW w:w="1276" w:type="dxa"/>
            <w:noWrap/>
            <w:hideMark/>
          </w:tcPr>
          <w:p w14:paraId="41557AEE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13,2%</w:t>
            </w:r>
          </w:p>
        </w:tc>
        <w:tc>
          <w:tcPr>
            <w:tcW w:w="1134" w:type="dxa"/>
            <w:noWrap/>
            <w:hideMark/>
          </w:tcPr>
          <w:p w14:paraId="0759C9CA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8,0%</w:t>
            </w:r>
          </w:p>
        </w:tc>
        <w:tc>
          <w:tcPr>
            <w:tcW w:w="1275" w:type="dxa"/>
            <w:noWrap/>
            <w:hideMark/>
          </w:tcPr>
          <w:p w14:paraId="1A9F0F3F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3,0%</w:t>
            </w:r>
          </w:p>
        </w:tc>
        <w:tc>
          <w:tcPr>
            <w:tcW w:w="1418" w:type="dxa"/>
            <w:noWrap/>
            <w:hideMark/>
          </w:tcPr>
          <w:p w14:paraId="63189497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5,0%</w:t>
            </w:r>
          </w:p>
        </w:tc>
        <w:tc>
          <w:tcPr>
            <w:tcW w:w="1134" w:type="dxa"/>
            <w:noWrap/>
            <w:hideMark/>
          </w:tcPr>
          <w:p w14:paraId="4109413E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15,3%</w:t>
            </w:r>
          </w:p>
        </w:tc>
        <w:tc>
          <w:tcPr>
            <w:tcW w:w="1197" w:type="dxa"/>
            <w:noWrap/>
            <w:hideMark/>
          </w:tcPr>
          <w:p w14:paraId="1B18BFF1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5,0%</w:t>
            </w:r>
          </w:p>
        </w:tc>
        <w:tc>
          <w:tcPr>
            <w:tcW w:w="929" w:type="dxa"/>
            <w:noWrap/>
            <w:hideMark/>
          </w:tcPr>
          <w:p w14:paraId="1F8840EB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18,6%</w:t>
            </w:r>
          </w:p>
        </w:tc>
        <w:tc>
          <w:tcPr>
            <w:tcW w:w="1418" w:type="dxa"/>
            <w:noWrap/>
            <w:hideMark/>
          </w:tcPr>
          <w:p w14:paraId="492F2BF8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0,0%</w:t>
            </w:r>
          </w:p>
        </w:tc>
        <w:tc>
          <w:tcPr>
            <w:tcW w:w="1417" w:type="dxa"/>
            <w:noWrap/>
            <w:hideMark/>
          </w:tcPr>
          <w:p w14:paraId="31B6B691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3,0%</w:t>
            </w:r>
          </w:p>
        </w:tc>
        <w:tc>
          <w:tcPr>
            <w:tcW w:w="1134" w:type="dxa"/>
            <w:noWrap/>
            <w:hideMark/>
          </w:tcPr>
          <w:p w14:paraId="49869A9D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14,2%</w:t>
            </w:r>
          </w:p>
        </w:tc>
        <w:tc>
          <w:tcPr>
            <w:tcW w:w="992" w:type="dxa"/>
            <w:noWrap/>
            <w:hideMark/>
          </w:tcPr>
          <w:p w14:paraId="4BE64CE1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85,28%</w:t>
            </w:r>
          </w:p>
        </w:tc>
      </w:tr>
      <w:tr w:rsidR="00E97E2E" w:rsidRPr="00E97E2E" w14:paraId="18720AB9" w14:textId="77777777" w:rsidTr="00FD20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7F9E77F" w14:textId="77777777" w:rsidR="00E97E2E" w:rsidRPr="00E97E2E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  <w:t>Kanoe un smaiļošana</w:t>
            </w:r>
          </w:p>
        </w:tc>
        <w:tc>
          <w:tcPr>
            <w:tcW w:w="1276" w:type="dxa"/>
            <w:noWrap/>
            <w:hideMark/>
          </w:tcPr>
          <w:p w14:paraId="0932C9C2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16,0%</w:t>
            </w:r>
          </w:p>
        </w:tc>
        <w:tc>
          <w:tcPr>
            <w:tcW w:w="1134" w:type="dxa"/>
            <w:noWrap/>
            <w:hideMark/>
          </w:tcPr>
          <w:p w14:paraId="7C72CA0D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3,8%</w:t>
            </w:r>
          </w:p>
        </w:tc>
        <w:tc>
          <w:tcPr>
            <w:tcW w:w="1275" w:type="dxa"/>
            <w:noWrap/>
            <w:hideMark/>
          </w:tcPr>
          <w:p w14:paraId="5ABE45DD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0,3%</w:t>
            </w:r>
          </w:p>
        </w:tc>
        <w:tc>
          <w:tcPr>
            <w:tcW w:w="1418" w:type="dxa"/>
            <w:noWrap/>
            <w:hideMark/>
          </w:tcPr>
          <w:p w14:paraId="508B13EA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3,0%</w:t>
            </w:r>
          </w:p>
        </w:tc>
        <w:tc>
          <w:tcPr>
            <w:tcW w:w="1134" w:type="dxa"/>
            <w:noWrap/>
            <w:hideMark/>
          </w:tcPr>
          <w:p w14:paraId="0287CFAE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13,9%</w:t>
            </w:r>
          </w:p>
        </w:tc>
        <w:tc>
          <w:tcPr>
            <w:tcW w:w="1197" w:type="dxa"/>
            <w:noWrap/>
            <w:hideMark/>
          </w:tcPr>
          <w:p w14:paraId="2F36E741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3,4%</w:t>
            </w:r>
          </w:p>
        </w:tc>
        <w:tc>
          <w:tcPr>
            <w:tcW w:w="929" w:type="dxa"/>
            <w:noWrap/>
            <w:hideMark/>
          </w:tcPr>
          <w:p w14:paraId="6852866C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6,6%</w:t>
            </w:r>
          </w:p>
        </w:tc>
        <w:tc>
          <w:tcPr>
            <w:tcW w:w="1418" w:type="dxa"/>
            <w:noWrap/>
            <w:hideMark/>
          </w:tcPr>
          <w:p w14:paraId="40FBDDF6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0,0%</w:t>
            </w:r>
          </w:p>
        </w:tc>
        <w:tc>
          <w:tcPr>
            <w:tcW w:w="1417" w:type="dxa"/>
            <w:noWrap/>
            <w:hideMark/>
          </w:tcPr>
          <w:p w14:paraId="197F0275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3,0%</w:t>
            </w:r>
          </w:p>
        </w:tc>
        <w:tc>
          <w:tcPr>
            <w:tcW w:w="1134" w:type="dxa"/>
            <w:noWrap/>
            <w:hideMark/>
          </w:tcPr>
          <w:p w14:paraId="388DFF0C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4,5%</w:t>
            </w:r>
          </w:p>
        </w:tc>
        <w:tc>
          <w:tcPr>
            <w:tcW w:w="992" w:type="dxa"/>
            <w:noWrap/>
            <w:hideMark/>
          </w:tcPr>
          <w:p w14:paraId="3A7E4035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54,46%</w:t>
            </w:r>
          </w:p>
        </w:tc>
      </w:tr>
      <w:tr w:rsidR="00E97E2E" w:rsidRPr="00E97E2E" w14:paraId="76F7557A" w14:textId="77777777" w:rsidTr="00FD20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A120A09" w14:textId="77777777" w:rsidR="00E97E2E" w:rsidRPr="00E97E2E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  <w:t>Loka šaušana</w:t>
            </w:r>
          </w:p>
        </w:tc>
        <w:tc>
          <w:tcPr>
            <w:tcW w:w="1276" w:type="dxa"/>
            <w:noWrap/>
            <w:hideMark/>
          </w:tcPr>
          <w:p w14:paraId="5117E943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9,0%</w:t>
            </w:r>
          </w:p>
        </w:tc>
        <w:tc>
          <w:tcPr>
            <w:tcW w:w="1134" w:type="dxa"/>
            <w:noWrap/>
            <w:hideMark/>
          </w:tcPr>
          <w:p w14:paraId="1D5CA20F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3,8%</w:t>
            </w:r>
          </w:p>
        </w:tc>
        <w:tc>
          <w:tcPr>
            <w:tcW w:w="1275" w:type="dxa"/>
            <w:noWrap/>
            <w:hideMark/>
          </w:tcPr>
          <w:p w14:paraId="05C1D073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0,4%</w:t>
            </w:r>
          </w:p>
        </w:tc>
        <w:tc>
          <w:tcPr>
            <w:tcW w:w="1418" w:type="dxa"/>
            <w:noWrap/>
            <w:hideMark/>
          </w:tcPr>
          <w:p w14:paraId="77668BB0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1,5%</w:t>
            </w:r>
          </w:p>
        </w:tc>
        <w:tc>
          <w:tcPr>
            <w:tcW w:w="1134" w:type="dxa"/>
            <w:noWrap/>
            <w:hideMark/>
          </w:tcPr>
          <w:p w14:paraId="3409DCD1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6,3%</w:t>
            </w:r>
          </w:p>
        </w:tc>
        <w:tc>
          <w:tcPr>
            <w:tcW w:w="1197" w:type="dxa"/>
            <w:noWrap/>
            <w:hideMark/>
          </w:tcPr>
          <w:p w14:paraId="79691DC2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4,5%</w:t>
            </w:r>
          </w:p>
        </w:tc>
        <w:tc>
          <w:tcPr>
            <w:tcW w:w="929" w:type="dxa"/>
            <w:noWrap/>
            <w:hideMark/>
          </w:tcPr>
          <w:p w14:paraId="50A78187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11,4%</w:t>
            </w:r>
          </w:p>
        </w:tc>
        <w:tc>
          <w:tcPr>
            <w:tcW w:w="1418" w:type="dxa"/>
            <w:noWrap/>
            <w:hideMark/>
          </w:tcPr>
          <w:p w14:paraId="4521012B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3,0%</w:t>
            </w:r>
          </w:p>
        </w:tc>
        <w:tc>
          <w:tcPr>
            <w:tcW w:w="1417" w:type="dxa"/>
            <w:noWrap/>
            <w:hideMark/>
          </w:tcPr>
          <w:p w14:paraId="1E36A265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3,0%</w:t>
            </w:r>
          </w:p>
        </w:tc>
        <w:tc>
          <w:tcPr>
            <w:tcW w:w="1134" w:type="dxa"/>
            <w:noWrap/>
            <w:hideMark/>
          </w:tcPr>
          <w:p w14:paraId="3100B304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0,3%</w:t>
            </w:r>
          </w:p>
        </w:tc>
        <w:tc>
          <w:tcPr>
            <w:tcW w:w="992" w:type="dxa"/>
            <w:noWrap/>
            <w:hideMark/>
          </w:tcPr>
          <w:p w14:paraId="02E06E62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43,24%</w:t>
            </w:r>
          </w:p>
        </w:tc>
      </w:tr>
      <w:tr w:rsidR="00E97E2E" w:rsidRPr="00E97E2E" w14:paraId="0C9491F5" w14:textId="77777777" w:rsidTr="00FD20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9972C27" w14:textId="77777777" w:rsidR="00E97E2E" w:rsidRPr="00E97E2E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  <w:t>Orientēšanās</w:t>
            </w:r>
          </w:p>
        </w:tc>
        <w:tc>
          <w:tcPr>
            <w:tcW w:w="1276" w:type="dxa"/>
            <w:noWrap/>
            <w:hideMark/>
          </w:tcPr>
          <w:p w14:paraId="07857DE8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10,4%</w:t>
            </w:r>
          </w:p>
        </w:tc>
        <w:tc>
          <w:tcPr>
            <w:tcW w:w="1134" w:type="dxa"/>
            <w:noWrap/>
            <w:hideMark/>
          </w:tcPr>
          <w:p w14:paraId="273BE76D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3,3%</w:t>
            </w:r>
          </w:p>
        </w:tc>
        <w:tc>
          <w:tcPr>
            <w:tcW w:w="1275" w:type="dxa"/>
            <w:noWrap/>
            <w:hideMark/>
          </w:tcPr>
          <w:p w14:paraId="402A18A4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0,9%</w:t>
            </w:r>
          </w:p>
        </w:tc>
        <w:tc>
          <w:tcPr>
            <w:tcW w:w="1418" w:type="dxa"/>
            <w:noWrap/>
            <w:hideMark/>
          </w:tcPr>
          <w:p w14:paraId="2A000F77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5,0%</w:t>
            </w:r>
          </w:p>
        </w:tc>
        <w:tc>
          <w:tcPr>
            <w:tcW w:w="1134" w:type="dxa"/>
            <w:noWrap/>
            <w:hideMark/>
          </w:tcPr>
          <w:p w14:paraId="5F5E116F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15,3%</w:t>
            </w:r>
          </w:p>
        </w:tc>
        <w:tc>
          <w:tcPr>
            <w:tcW w:w="1197" w:type="dxa"/>
            <w:noWrap/>
            <w:hideMark/>
          </w:tcPr>
          <w:p w14:paraId="36CFBAEC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5,0%</w:t>
            </w:r>
          </w:p>
        </w:tc>
        <w:tc>
          <w:tcPr>
            <w:tcW w:w="929" w:type="dxa"/>
            <w:noWrap/>
            <w:hideMark/>
          </w:tcPr>
          <w:p w14:paraId="5A42C347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1,6%</w:t>
            </w:r>
          </w:p>
        </w:tc>
        <w:tc>
          <w:tcPr>
            <w:tcW w:w="1418" w:type="dxa"/>
            <w:noWrap/>
            <w:hideMark/>
          </w:tcPr>
          <w:p w14:paraId="4E4A68F0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1,2%</w:t>
            </w:r>
          </w:p>
        </w:tc>
        <w:tc>
          <w:tcPr>
            <w:tcW w:w="1417" w:type="dxa"/>
            <w:noWrap/>
            <w:hideMark/>
          </w:tcPr>
          <w:p w14:paraId="17A8997B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3,0%</w:t>
            </w:r>
          </w:p>
        </w:tc>
        <w:tc>
          <w:tcPr>
            <w:tcW w:w="1134" w:type="dxa"/>
            <w:noWrap/>
            <w:hideMark/>
          </w:tcPr>
          <w:p w14:paraId="3A14B271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8,5%</w:t>
            </w:r>
          </w:p>
        </w:tc>
        <w:tc>
          <w:tcPr>
            <w:tcW w:w="992" w:type="dxa"/>
            <w:noWrap/>
            <w:hideMark/>
          </w:tcPr>
          <w:p w14:paraId="470E59B7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54,21%</w:t>
            </w:r>
          </w:p>
        </w:tc>
      </w:tr>
      <w:tr w:rsidR="00E97E2E" w:rsidRPr="00E97E2E" w14:paraId="674A8939" w14:textId="77777777" w:rsidTr="00FD20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AB01AA1" w14:textId="77777777" w:rsidR="00E97E2E" w:rsidRPr="00E97E2E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  <w:t>Sporta dejas</w:t>
            </w:r>
          </w:p>
        </w:tc>
        <w:tc>
          <w:tcPr>
            <w:tcW w:w="1276" w:type="dxa"/>
            <w:noWrap/>
            <w:hideMark/>
          </w:tcPr>
          <w:p w14:paraId="10FA55ED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17,6%</w:t>
            </w:r>
          </w:p>
        </w:tc>
        <w:tc>
          <w:tcPr>
            <w:tcW w:w="1134" w:type="dxa"/>
            <w:noWrap/>
            <w:hideMark/>
          </w:tcPr>
          <w:p w14:paraId="6EBF2ADA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2,2%</w:t>
            </w:r>
          </w:p>
        </w:tc>
        <w:tc>
          <w:tcPr>
            <w:tcW w:w="1275" w:type="dxa"/>
            <w:noWrap/>
            <w:hideMark/>
          </w:tcPr>
          <w:p w14:paraId="36DBF185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0,8%</w:t>
            </w:r>
          </w:p>
        </w:tc>
        <w:tc>
          <w:tcPr>
            <w:tcW w:w="1418" w:type="dxa"/>
            <w:noWrap/>
            <w:hideMark/>
          </w:tcPr>
          <w:p w14:paraId="2ECD4CC4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5,0%</w:t>
            </w:r>
          </w:p>
        </w:tc>
        <w:tc>
          <w:tcPr>
            <w:tcW w:w="1134" w:type="dxa"/>
            <w:noWrap/>
            <w:hideMark/>
          </w:tcPr>
          <w:p w14:paraId="1506BFB1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11,0%</w:t>
            </w:r>
          </w:p>
        </w:tc>
        <w:tc>
          <w:tcPr>
            <w:tcW w:w="1197" w:type="dxa"/>
            <w:noWrap/>
            <w:hideMark/>
          </w:tcPr>
          <w:p w14:paraId="3EF49D87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4,5%</w:t>
            </w:r>
          </w:p>
        </w:tc>
        <w:tc>
          <w:tcPr>
            <w:tcW w:w="929" w:type="dxa"/>
            <w:noWrap/>
            <w:hideMark/>
          </w:tcPr>
          <w:p w14:paraId="494C0EAC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1,8%</w:t>
            </w:r>
          </w:p>
        </w:tc>
        <w:tc>
          <w:tcPr>
            <w:tcW w:w="1418" w:type="dxa"/>
            <w:noWrap/>
            <w:hideMark/>
          </w:tcPr>
          <w:p w14:paraId="05DBB308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3,0%</w:t>
            </w:r>
          </w:p>
        </w:tc>
        <w:tc>
          <w:tcPr>
            <w:tcW w:w="1417" w:type="dxa"/>
            <w:noWrap/>
            <w:hideMark/>
          </w:tcPr>
          <w:p w14:paraId="586FE583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2,0%</w:t>
            </w:r>
          </w:p>
        </w:tc>
        <w:tc>
          <w:tcPr>
            <w:tcW w:w="1134" w:type="dxa"/>
            <w:noWrap/>
            <w:hideMark/>
          </w:tcPr>
          <w:p w14:paraId="57C4C7DA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10,6%</w:t>
            </w:r>
          </w:p>
        </w:tc>
        <w:tc>
          <w:tcPr>
            <w:tcW w:w="992" w:type="dxa"/>
            <w:noWrap/>
            <w:hideMark/>
          </w:tcPr>
          <w:p w14:paraId="3333DA4D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58,51%</w:t>
            </w:r>
          </w:p>
        </w:tc>
      </w:tr>
      <w:tr w:rsidR="00E97E2E" w:rsidRPr="00E97E2E" w14:paraId="16F2F17C" w14:textId="77777777" w:rsidTr="00FD20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17F33F6" w14:textId="77777777" w:rsidR="00E97E2E" w:rsidRPr="00E97E2E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  <w:t>Virves vilkšanas</w:t>
            </w:r>
          </w:p>
        </w:tc>
        <w:tc>
          <w:tcPr>
            <w:tcW w:w="1276" w:type="dxa"/>
            <w:noWrap/>
            <w:hideMark/>
          </w:tcPr>
          <w:p w14:paraId="77F93F8D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10,4%</w:t>
            </w:r>
          </w:p>
        </w:tc>
        <w:tc>
          <w:tcPr>
            <w:tcW w:w="1134" w:type="dxa"/>
            <w:noWrap/>
            <w:hideMark/>
          </w:tcPr>
          <w:p w14:paraId="30080699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1,0%</w:t>
            </w:r>
          </w:p>
        </w:tc>
        <w:tc>
          <w:tcPr>
            <w:tcW w:w="1275" w:type="dxa"/>
            <w:noWrap/>
            <w:hideMark/>
          </w:tcPr>
          <w:p w14:paraId="3EF1F785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0,6%</w:t>
            </w:r>
          </w:p>
        </w:tc>
        <w:tc>
          <w:tcPr>
            <w:tcW w:w="1418" w:type="dxa"/>
            <w:noWrap/>
            <w:hideMark/>
          </w:tcPr>
          <w:p w14:paraId="63B17E49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1,5%</w:t>
            </w:r>
          </w:p>
        </w:tc>
        <w:tc>
          <w:tcPr>
            <w:tcW w:w="1134" w:type="dxa"/>
            <w:noWrap/>
            <w:hideMark/>
          </w:tcPr>
          <w:p w14:paraId="2B468F9C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4,5%</w:t>
            </w:r>
          </w:p>
        </w:tc>
        <w:tc>
          <w:tcPr>
            <w:tcW w:w="1197" w:type="dxa"/>
            <w:noWrap/>
            <w:hideMark/>
          </w:tcPr>
          <w:p w14:paraId="4D002C63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2,1%</w:t>
            </w:r>
          </w:p>
        </w:tc>
        <w:tc>
          <w:tcPr>
            <w:tcW w:w="929" w:type="dxa"/>
            <w:noWrap/>
            <w:hideMark/>
          </w:tcPr>
          <w:p w14:paraId="1AB3AE34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0,0%</w:t>
            </w:r>
          </w:p>
        </w:tc>
        <w:tc>
          <w:tcPr>
            <w:tcW w:w="1418" w:type="dxa"/>
            <w:noWrap/>
            <w:hideMark/>
          </w:tcPr>
          <w:p w14:paraId="7A2ECB5E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0,0%</w:t>
            </w:r>
          </w:p>
        </w:tc>
        <w:tc>
          <w:tcPr>
            <w:tcW w:w="1417" w:type="dxa"/>
            <w:noWrap/>
            <w:hideMark/>
          </w:tcPr>
          <w:p w14:paraId="703CC41D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3,0%</w:t>
            </w:r>
          </w:p>
        </w:tc>
        <w:tc>
          <w:tcPr>
            <w:tcW w:w="1134" w:type="dxa"/>
            <w:noWrap/>
            <w:hideMark/>
          </w:tcPr>
          <w:p w14:paraId="663C8D2F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0,0%</w:t>
            </w:r>
          </w:p>
        </w:tc>
        <w:tc>
          <w:tcPr>
            <w:tcW w:w="992" w:type="dxa"/>
            <w:noWrap/>
            <w:hideMark/>
          </w:tcPr>
          <w:p w14:paraId="3C013FA2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23,09%</w:t>
            </w:r>
          </w:p>
        </w:tc>
      </w:tr>
      <w:tr w:rsidR="00E97E2E" w:rsidRPr="00E97E2E" w14:paraId="7C047E2B" w14:textId="77777777" w:rsidTr="00FD20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0126EE67" w14:textId="77777777" w:rsidR="00E97E2E" w:rsidRPr="00E97E2E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  <w:t>Brīvā cīņa</w:t>
            </w:r>
          </w:p>
        </w:tc>
        <w:tc>
          <w:tcPr>
            <w:tcW w:w="1276" w:type="dxa"/>
            <w:noWrap/>
            <w:hideMark/>
          </w:tcPr>
          <w:p w14:paraId="4D949C6A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13,6%</w:t>
            </w:r>
          </w:p>
        </w:tc>
        <w:tc>
          <w:tcPr>
            <w:tcW w:w="1134" w:type="dxa"/>
            <w:noWrap/>
            <w:hideMark/>
          </w:tcPr>
          <w:p w14:paraId="594174C9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6,6%</w:t>
            </w:r>
          </w:p>
        </w:tc>
        <w:tc>
          <w:tcPr>
            <w:tcW w:w="1275" w:type="dxa"/>
            <w:noWrap/>
            <w:hideMark/>
          </w:tcPr>
          <w:p w14:paraId="3F2A2600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0,6%</w:t>
            </w:r>
          </w:p>
        </w:tc>
        <w:tc>
          <w:tcPr>
            <w:tcW w:w="1418" w:type="dxa"/>
            <w:noWrap/>
            <w:hideMark/>
          </w:tcPr>
          <w:p w14:paraId="4F00A5D1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2,5%</w:t>
            </w:r>
          </w:p>
        </w:tc>
        <w:tc>
          <w:tcPr>
            <w:tcW w:w="1134" w:type="dxa"/>
            <w:noWrap/>
            <w:hideMark/>
          </w:tcPr>
          <w:p w14:paraId="66E61844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12,4%</w:t>
            </w:r>
          </w:p>
        </w:tc>
        <w:tc>
          <w:tcPr>
            <w:tcW w:w="1197" w:type="dxa"/>
            <w:noWrap/>
            <w:hideMark/>
          </w:tcPr>
          <w:p w14:paraId="243DE4A3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4,7%</w:t>
            </w:r>
          </w:p>
        </w:tc>
        <w:tc>
          <w:tcPr>
            <w:tcW w:w="929" w:type="dxa"/>
            <w:noWrap/>
            <w:hideMark/>
          </w:tcPr>
          <w:p w14:paraId="75790552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14,6%</w:t>
            </w:r>
          </w:p>
        </w:tc>
        <w:tc>
          <w:tcPr>
            <w:tcW w:w="1418" w:type="dxa"/>
            <w:noWrap/>
            <w:hideMark/>
          </w:tcPr>
          <w:p w14:paraId="3ECE1F43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2,2%</w:t>
            </w:r>
          </w:p>
        </w:tc>
        <w:tc>
          <w:tcPr>
            <w:tcW w:w="1417" w:type="dxa"/>
            <w:noWrap/>
            <w:hideMark/>
          </w:tcPr>
          <w:p w14:paraId="04922C94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2,0%</w:t>
            </w:r>
          </w:p>
        </w:tc>
        <w:tc>
          <w:tcPr>
            <w:tcW w:w="1134" w:type="dxa"/>
            <w:noWrap/>
            <w:hideMark/>
          </w:tcPr>
          <w:p w14:paraId="76C4D811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9,3%</w:t>
            </w:r>
          </w:p>
        </w:tc>
        <w:tc>
          <w:tcPr>
            <w:tcW w:w="992" w:type="dxa"/>
            <w:noWrap/>
            <w:hideMark/>
          </w:tcPr>
          <w:p w14:paraId="78A20E1E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68,39%</w:t>
            </w:r>
          </w:p>
        </w:tc>
      </w:tr>
      <w:tr w:rsidR="00E97E2E" w:rsidRPr="00E97E2E" w14:paraId="4D16353B" w14:textId="77777777" w:rsidTr="00FD20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53693FC4" w14:textId="77777777" w:rsidR="00E97E2E" w:rsidRPr="00E97E2E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  <w:t>Vingrošana</w:t>
            </w:r>
          </w:p>
        </w:tc>
        <w:tc>
          <w:tcPr>
            <w:tcW w:w="1276" w:type="dxa"/>
            <w:noWrap/>
            <w:hideMark/>
          </w:tcPr>
          <w:p w14:paraId="07C01DB2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7,0%</w:t>
            </w:r>
          </w:p>
        </w:tc>
        <w:tc>
          <w:tcPr>
            <w:tcW w:w="1134" w:type="dxa"/>
            <w:noWrap/>
            <w:hideMark/>
          </w:tcPr>
          <w:p w14:paraId="703FE0D2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7,3%</w:t>
            </w:r>
          </w:p>
        </w:tc>
        <w:tc>
          <w:tcPr>
            <w:tcW w:w="1275" w:type="dxa"/>
            <w:noWrap/>
            <w:hideMark/>
          </w:tcPr>
          <w:p w14:paraId="5DA0CA1B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2,0%</w:t>
            </w:r>
          </w:p>
        </w:tc>
        <w:tc>
          <w:tcPr>
            <w:tcW w:w="1418" w:type="dxa"/>
            <w:noWrap/>
            <w:hideMark/>
          </w:tcPr>
          <w:p w14:paraId="7C764459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1,0%</w:t>
            </w:r>
          </w:p>
        </w:tc>
        <w:tc>
          <w:tcPr>
            <w:tcW w:w="1134" w:type="dxa"/>
            <w:noWrap/>
            <w:hideMark/>
          </w:tcPr>
          <w:p w14:paraId="602902AA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8,5%</w:t>
            </w:r>
          </w:p>
        </w:tc>
        <w:tc>
          <w:tcPr>
            <w:tcW w:w="1197" w:type="dxa"/>
            <w:noWrap/>
            <w:hideMark/>
          </w:tcPr>
          <w:p w14:paraId="2058292C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4,9%</w:t>
            </w:r>
          </w:p>
        </w:tc>
        <w:tc>
          <w:tcPr>
            <w:tcW w:w="929" w:type="dxa"/>
            <w:noWrap/>
            <w:hideMark/>
          </w:tcPr>
          <w:p w14:paraId="713048A9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15,0%</w:t>
            </w:r>
          </w:p>
        </w:tc>
        <w:tc>
          <w:tcPr>
            <w:tcW w:w="1418" w:type="dxa"/>
            <w:noWrap/>
            <w:hideMark/>
          </w:tcPr>
          <w:p w14:paraId="646066C4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0,0%</w:t>
            </w:r>
          </w:p>
        </w:tc>
        <w:tc>
          <w:tcPr>
            <w:tcW w:w="1417" w:type="dxa"/>
            <w:noWrap/>
            <w:hideMark/>
          </w:tcPr>
          <w:p w14:paraId="61535248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2,0%</w:t>
            </w:r>
          </w:p>
        </w:tc>
        <w:tc>
          <w:tcPr>
            <w:tcW w:w="1134" w:type="dxa"/>
            <w:noWrap/>
            <w:hideMark/>
          </w:tcPr>
          <w:p w14:paraId="54886F45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12,3%</w:t>
            </w:r>
          </w:p>
        </w:tc>
        <w:tc>
          <w:tcPr>
            <w:tcW w:w="992" w:type="dxa"/>
            <w:noWrap/>
            <w:hideMark/>
          </w:tcPr>
          <w:p w14:paraId="11217F1D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59,88%</w:t>
            </w:r>
          </w:p>
        </w:tc>
      </w:tr>
      <w:tr w:rsidR="00E97E2E" w:rsidRPr="00E97E2E" w14:paraId="04E7262A" w14:textId="77777777" w:rsidTr="00FD201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804ED07" w14:textId="77777777" w:rsidR="00E97E2E" w:rsidRPr="00E97E2E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  <w:t>Burāšana</w:t>
            </w:r>
          </w:p>
        </w:tc>
        <w:tc>
          <w:tcPr>
            <w:tcW w:w="1276" w:type="dxa"/>
            <w:noWrap/>
            <w:hideMark/>
          </w:tcPr>
          <w:p w14:paraId="20060228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17,0%</w:t>
            </w:r>
          </w:p>
        </w:tc>
        <w:tc>
          <w:tcPr>
            <w:tcW w:w="1134" w:type="dxa"/>
            <w:noWrap/>
            <w:hideMark/>
          </w:tcPr>
          <w:p w14:paraId="218D7F7E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0,4%</w:t>
            </w:r>
          </w:p>
        </w:tc>
        <w:tc>
          <w:tcPr>
            <w:tcW w:w="1275" w:type="dxa"/>
            <w:noWrap/>
            <w:hideMark/>
          </w:tcPr>
          <w:p w14:paraId="4C60B8C6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0,2%</w:t>
            </w:r>
          </w:p>
        </w:tc>
        <w:tc>
          <w:tcPr>
            <w:tcW w:w="1418" w:type="dxa"/>
            <w:noWrap/>
            <w:hideMark/>
          </w:tcPr>
          <w:p w14:paraId="359D6004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0,4%</w:t>
            </w:r>
          </w:p>
        </w:tc>
        <w:tc>
          <w:tcPr>
            <w:tcW w:w="1134" w:type="dxa"/>
            <w:noWrap/>
            <w:hideMark/>
          </w:tcPr>
          <w:p w14:paraId="71795C5B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13,5%</w:t>
            </w:r>
          </w:p>
        </w:tc>
        <w:tc>
          <w:tcPr>
            <w:tcW w:w="1197" w:type="dxa"/>
            <w:noWrap/>
            <w:hideMark/>
          </w:tcPr>
          <w:p w14:paraId="57D90645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4,2%</w:t>
            </w:r>
          </w:p>
        </w:tc>
        <w:tc>
          <w:tcPr>
            <w:tcW w:w="929" w:type="dxa"/>
            <w:noWrap/>
            <w:hideMark/>
          </w:tcPr>
          <w:p w14:paraId="3BD25E9B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11,2%</w:t>
            </w:r>
          </w:p>
        </w:tc>
        <w:tc>
          <w:tcPr>
            <w:tcW w:w="1418" w:type="dxa"/>
            <w:noWrap/>
            <w:hideMark/>
          </w:tcPr>
          <w:p w14:paraId="10843C79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2,5%</w:t>
            </w:r>
          </w:p>
        </w:tc>
        <w:tc>
          <w:tcPr>
            <w:tcW w:w="1417" w:type="dxa"/>
            <w:noWrap/>
            <w:hideMark/>
          </w:tcPr>
          <w:p w14:paraId="3C10B178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2,0%</w:t>
            </w:r>
          </w:p>
        </w:tc>
        <w:tc>
          <w:tcPr>
            <w:tcW w:w="1134" w:type="dxa"/>
            <w:noWrap/>
            <w:hideMark/>
          </w:tcPr>
          <w:p w14:paraId="67751551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1,6%</w:t>
            </w:r>
          </w:p>
        </w:tc>
        <w:tc>
          <w:tcPr>
            <w:tcW w:w="992" w:type="dxa"/>
            <w:noWrap/>
            <w:hideMark/>
          </w:tcPr>
          <w:p w14:paraId="11BFC4A2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52,96%</w:t>
            </w:r>
          </w:p>
        </w:tc>
      </w:tr>
      <w:tr w:rsidR="00FD2012" w:rsidRPr="00FD2012" w14:paraId="585B1757" w14:textId="77777777" w:rsidTr="00FD20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1B2323D" w14:textId="77777777" w:rsidR="00FD2012" w:rsidRPr="00FD2012" w:rsidRDefault="00FD2012" w:rsidP="00FD2012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lv-LV"/>
              </w:rPr>
              <w:t>Džudo</w:t>
            </w:r>
          </w:p>
        </w:tc>
        <w:tc>
          <w:tcPr>
            <w:tcW w:w="1276" w:type="dxa"/>
            <w:noWrap/>
            <w:hideMark/>
          </w:tcPr>
          <w:p w14:paraId="1C3E2621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9,0%</w:t>
            </w:r>
          </w:p>
        </w:tc>
        <w:tc>
          <w:tcPr>
            <w:tcW w:w="1134" w:type="dxa"/>
            <w:noWrap/>
            <w:hideMark/>
          </w:tcPr>
          <w:p w14:paraId="17497CE8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8,0%</w:t>
            </w:r>
          </w:p>
        </w:tc>
        <w:tc>
          <w:tcPr>
            <w:tcW w:w="1275" w:type="dxa"/>
            <w:noWrap/>
            <w:hideMark/>
          </w:tcPr>
          <w:p w14:paraId="79499D9B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0,4%</w:t>
            </w:r>
          </w:p>
        </w:tc>
        <w:tc>
          <w:tcPr>
            <w:tcW w:w="1418" w:type="dxa"/>
            <w:noWrap/>
            <w:hideMark/>
          </w:tcPr>
          <w:p w14:paraId="18302E89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5,0%</w:t>
            </w:r>
          </w:p>
        </w:tc>
        <w:tc>
          <w:tcPr>
            <w:tcW w:w="1134" w:type="dxa"/>
            <w:noWrap/>
            <w:hideMark/>
          </w:tcPr>
          <w:p w14:paraId="0B75EE8D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11,2%</w:t>
            </w:r>
          </w:p>
        </w:tc>
        <w:tc>
          <w:tcPr>
            <w:tcW w:w="1197" w:type="dxa"/>
            <w:noWrap/>
            <w:hideMark/>
          </w:tcPr>
          <w:p w14:paraId="464D5437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2,5%</w:t>
            </w:r>
          </w:p>
        </w:tc>
        <w:tc>
          <w:tcPr>
            <w:tcW w:w="929" w:type="dxa"/>
            <w:noWrap/>
            <w:hideMark/>
          </w:tcPr>
          <w:p w14:paraId="1FA49647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13,0%</w:t>
            </w:r>
          </w:p>
        </w:tc>
        <w:tc>
          <w:tcPr>
            <w:tcW w:w="1418" w:type="dxa"/>
            <w:noWrap/>
            <w:hideMark/>
          </w:tcPr>
          <w:p w14:paraId="0825E289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0,0%</w:t>
            </w:r>
          </w:p>
        </w:tc>
        <w:tc>
          <w:tcPr>
            <w:tcW w:w="1417" w:type="dxa"/>
            <w:noWrap/>
            <w:hideMark/>
          </w:tcPr>
          <w:p w14:paraId="307052D9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2,0%</w:t>
            </w:r>
          </w:p>
        </w:tc>
        <w:tc>
          <w:tcPr>
            <w:tcW w:w="1134" w:type="dxa"/>
            <w:noWrap/>
            <w:hideMark/>
          </w:tcPr>
          <w:p w14:paraId="602727B2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4,1%</w:t>
            </w:r>
          </w:p>
        </w:tc>
        <w:tc>
          <w:tcPr>
            <w:tcW w:w="992" w:type="dxa"/>
            <w:noWrap/>
            <w:hideMark/>
          </w:tcPr>
          <w:p w14:paraId="592AC1D6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lv-LV"/>
              </w:rPr>
              <w:t>55,14%</w:t>
            </w:r>
          </w:p>
        </w:tc>
      </w:tr>
      <w:tr w:rsidR="00FD2012" w:rsidRPr="00FD2012" w14:paraId="50D9E19B" w14:textId="77777777" w:rsidTr="00FD20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99B5453" w14:textId="77777777" w:rsidR="00FD2012" w:rsidRPr="00FD2012" w:rsidRDefault="00FD2012" w:rsidP="00FD2012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lv-LV"/>
              </w:rPr>
              <w:t>Peldēšana</w:t>
            </w:r>
          </w:p>
        </w:tc>
        <w:tc>
          <w:tcPr>
            <w:tcW w:w="1276" w:type="dxa"/>
            <w:noWrap/>
            <w:hideMark/>
          </w:tcPr>
          <w:p w14:paraId="16FEC753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8,4%</w:t>
            </w:r>
          </w:p>
        </w:tc>
        <w:tc>
          <w:tcPr>
            <w:tcW w:w="1134" w:type="dxa"/>
            <w:noWrap/>
            <w:hideMark/>
          </w:tcPr>
          <w:p w14:paraId="47318675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8,0%</w:t>
            </w:r>
          </w:p>
        </w:tc>
        <w:tc>
          <w:tcPr>
            <w:tcW w:w="1275" w:type="dxa"/>
            <w:noWrap/>
            <w:hideMark/>
          </w:tcPr>
          <w:p w14:paraId="51FFFF09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2,4%</w:t>
            </w:r>
          </w:p>
        </w:tc>
        <w:tc>
          <w:tcPr>
            <w:tcW w:w="1418" w:type="dxa"/>
            <w:noWrap/>
            <w:hideMark/>
          </w:tcPr>
          <w:p w14:paraId="64E7CF83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5,0%</w:t>
            </w:r>
          </w:p>
        </w:tc>
        <w:tc>
          <w:tcPr>
            <w:tcW w:w="1134" w:type="dxa"/>
            <w:noWrap/>
            <w:hideMark/>
          </w:tcPr>
          <w:p w14:paraId="2C10CD3A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9,4%</w:t>
            </w:r>
          </w:p>
        </w:tc>
        <w:tc>
          <w:tcPr>
            <w:tcW w:w="1197" w:type="dxa"/>
            <w:noWrap/>
            <w:hideMark/>
          </w:tcPr>
          <w:p w14:paraId="1B9DEE7B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5,0%</w:t>
            </w:r>
          </w:p>
        </w:tc>
        <w:tc>
          <w:tcPr>
            <w:tcW w:w="929" w:type="dxa"/>
            <w:noWrap/>
            <w:hideMark/>
          </w:tcPr>
          <w:p w14:paraId="14D2B84E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16,8%</w:t>
            </w:r>
          </w:p>
        </w:tc>
        <w:tc>
          <w:tcPr>
            <w:tcW w:w="1418" w:type="dxa"/>
            <w:noWrap/>
            <w:hideMark/>
          </w:tcPr>
          <w:p w14:paraId="72F55715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0,0%</w:t>
            </w:r>
          </w:p>
        </w:tc>
        <w:tc>
          <w:tcPr>
            <w:tcW w:w="1417" w:type="dxa"/>
            <w:noWrap/>
            <w:hideMark/>
          </w:tcPr>
          <w:p w14:paraId="491ABD29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3,0%</w:t>
            </w:r>
          </w:p>
        </w:tc>
        <w:tc>
          <w:tcPr>
            <w:tcW w:w="1134" w:type="dxa"/>
            <w:noWrap/>
            <w:hideMark/>
          </w:tcPr>
          <w:p w14:paraId="21D7A38A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10,1%</w:t>
            </w:r>
          </w:p>
        </w:tc>
        <w:tc>
          <w:tcPr>
            <w:tcW w:w="992" w:type="dxa"/>
            <w:noWrap/>
            <w:hideMark/>
          </w:tcPr>
          <w:p w14:paraId="68A9B035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lv-LV"/>
              </w:rPr>
              <w:t>68,02%</w:t>
            </w:r>
          </w:p>
        </w:tc>
      </w:tr>
      <w:tr w:rsidR="00FD2012" w:rsidRPr="00FD2012" w14:paraId="4E8B3910" w14:textId="77777777" w:rsidTr="00FD20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66D7F572" w14:textId="77777777" w:rsidR="00FD2012" w:rsidRPr="00FD2012" w:rsidRDefault="00FD2012" w:rsidP="00FD2012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lv-LV"/>
              </w:rPr>
              <w:t>Skeitbords</w:t>
            </w:r>
          </w:p>
        </w:tc>
        <w:tc>
          <w:tcPr>
            <w:tcW w:w="1276" w:type="dxa"/>
            <w:noWrap/>
            <w:hideMark/>
          </w:tcPr>
          <w:p w14:paraId="05F002FD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18,2%</w:t>
            </w:r>
          </w:p>
        </w:tc>
        <w:tc>
          <w:tcPr>
            <w:tcW w:w="1134" w:type="dxa"/>
            <w:noWrap/>
            <w:hideMark/>
          </w:tcPr>
          <w:p w14:paraId="63AF5EF4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0,3%</w:t>
            </w:r>
          </w:p>
        </w:tc>
        <w:tc>
          <w:tcPr>
            <w:tcW w:w="1275" w:type="dxa"/>
            <w:noWrap/>
            <w:hideMark/>
          </w:tcPr>
          <w:p w14:paraId="59DA9593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0,5%</w:t>
            </w:r>
          </w:p>
        </w:tc>
        <w:tc>
          <w:tcPr>
            <w:tcW w:w="1418" w:type="dxa"/>
            <w:noWrap/>
            <w:hideMark/>
          </w:tcPr>
          <w:p w14:paraId="31A90790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0,4%</w:t>
            </w:r>
          </w:p>
        </w:tc>
        <w:tc>
          <w:tcPr>
            <w:tcW w:w="1134" w:type="dxa"/>
            <w:noWrap/>
            <w:hideMark/>
          </w:tcPr>
          <w:p w14:paraId="3C93ED04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15,3%</w:t>
            </w:r>
          </w:p>
        </w:tc>
        <w:tc>
          <w:tcPr>
            <w:tcW w:w="1197" w:type="dxa"/>
            <w:noWrap/>
            <w:hideMark/>
          </w:tcPr>
          <w:p w14:paraId="11F873CB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0,8%</w:t>
            </w:r>
          </w:p>
        </w:tc>
        <w:tc>
          <w:tcPr>
            <w:tcW w:w="929" w:type="dxa"/>
            <w:noWrap/>
            <w:hideMark/>
          </w:tcPr>
          <w:p w14:paraId="037EF536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6,4%</w:t>
            </w:r>
          </w:p>
        </w:tc>
        <w:tc>
          <w:tcPr>
            <w:tcW w:w="1418" w:type="dxa"/>
            <w:noWrap/>
            <w:hideMark/>
          </w:tcPr>
          <w:p w14:paraId="3891D084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3,0%</w:t>
            </w:r>
          </w:p>
        </w:tc>
        <w:tc>
          <w:tcPr>
            <w:tcW w:w="1417" w:type="dxa"/>
            <w:noWrap/>
            <w:hideMark/>
          </w:tcPr>
          <w:p w14:paraId="4CF91EC3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2,0%</w:t>
            </w:r>
          </w:p>
        </w:tc>
        <w:tc>
          <w:tcPr>
            <w:tcW w:w="1134" w:type="dxa"/>
            <w:noWrap/>
            <w:hideMark/>
          </w:tcPr>
          <w:p w14:paraId="0C1DEB45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  <w:t>1,4%</w:t>
            </w:r>
          </w:p>
        </w:tc>
        <w:tc>
          <w:tcPr>
            <w:tcW w:w="992" w:type="dxa"/>
            <w:noWrap/>
            <w:hideMark/>
          </w:tcPr>
          <w:p w14:paraId="72D77408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lv-LV"/>
              </w:rPr>
            </w:pPr>
            <w:r w:rsidRPr="00FD201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lv-LV"/>
              </w:rPr>
              <w:t>48,33%</w:t>
            </w:r>
          </w:p>
        </w:tc>
      </w:tr>
      <w:tr w:rsidR="00FD2012" w:rsidRPr="00FD2012" w14:paraId="0600ACD6" w14:textId="77777777" w:rsidTr="00FD2012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66E45B13" w14:textId="77777777" w:rsidR="00FD2012" w:rsidRPr="00FD2012" w:rsidRDefault="00FD2012" w:rsidP="00FD2012">
            <w:pPr>
              <w:rPr>
                <w:rFonts w:ascii="Calibri" w:eastAsia="Times New Roman" w:hAnsi="Calibri" w:cs="Times New Roman"/>
                <w:color w:val="000000"/>
                <w:sz w:val="14"/>
                <w:szCs w:val="22"/>
                <w:lang w:eastAsia="lv-LV"/>
              </w:rPr>
            </w:pPr>
          </w:p>
        </w:tc>
        <w:tc>
          <w:tcPr>
            <w:tcW w:w="1276" w:type="dxa"/>
            <w:noWrap/>
          </w:tcPr>
          <w:p w14:paraId="6186E09C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noWrap/>
          </w:tcPr>
          <w:p w14:paraId="0E63B26B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noWrap/>
          </w:tcPr>
          <w:p w14:paraId="21C05C02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418" w:type="dxa"/>
            <w:noWrap/>
          </w:tcPr>
          <w:p w14:paraId="6B9687D9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noWrap/>
          </w:tcPr>
          <w:p w14:paraId="08E688D8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97" w:type="dxa"/>
            <w:noWrap/>
          </w:tcPr>
          <w:p w14:paraId="0F1C876F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29" w:type="dxa"/>
            <w:noWrap/>
          </w:tcPr>
          <w:p w14:paraId="5484734E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418" w:type="dxa"/>
            <w:noWrap/>
          </w:tcPr>
          <w:p w14:paraId="78486A33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417" w:type="dxa"/>
            <w:noWrap/>
          </w:tcPr>
          <w:p w14:paraId="0D1F11D4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noWrap/>
          </w:tcPr>
          <w:p w14:paraId="7BFBA9AF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noWrap/>
          </w:tcPr>
          <w:p w14:paraId="00A99D35" w14:textId="77777777" w:rsidR="00FD2012" w:rsidRPr="00FD2012" w:rsidRDefault="00FD2012" w:rsidP="00FD2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E97E2E" w:rsidRPr="00E97E2E" w14:paraId="4A296530" w14:textId="77777777" w:rsidTr="00FD201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3F645CE4" w14:textId="77777777" w:rsidR="00E97E2E" w:rsidRPr="00E97E2E" w:rsidRDefault="00E97E2E" w:rsidP="00E97E2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 w:val="0"/>
                <w:color w:val="000000"/>
                <w:lang w:eastAsia="lv-LV"/>
              </w:rPr>
              <w:t>Motokross</w:t>
            </w:r>
          </w:p>
        </w:tc>
        <w:tc>
          <w:tcPr>
            <w:tcW w:w="1276" w:type="dxa"/>
            <w:noWrap/>
            <w:hideMark/>
          </w:tcPr>
          <w:p w14:paraId="084C66C8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15,4%</w:t>
            </w:r>
          </w:p>
        </w:tc>
        <w:tc>
          <w:tcPr>
            <w:tcW w:w="1134" w:type="dxa"/>
            <w:noWrap/>
            <w:hideMark/>
          </w:tcPr>
          <w:p w14:paraId="760FB2DC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1,6%</w:t>
            </w:r>
          </w:p>
        </w:tc>
        <w:tc>
          <w:tcPr>
            <w:tcW w:w="1275" w:type="dxa"/>
            <w:noWrap/>
            <w:hideMark/>
          </w:tcPr>
          <w:p w14:paraId="534DA891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0,4%</w:t>
            </w:r>
          </w:p>
        </w:tc>
        <w:tc>
          <w:tcPr>
            <w:tcW w:w="1418" w:type="dxa"/>
            <w:noWrap/>
            <w:hideMark/>
          </w:tcPr>
          <w:p w14:paraId="6548AC3F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5,0%</w:t>
            </w:r>
          </w:p>
        </w:tc>
        <w:tc>
          <w:tcPr>
            <w:tcW w:w="1134" w:type="dxa"/>
            <w:noWrap/>
            <w:hideMark/>
          </w:tcPr>
          <w:p w14:paraId="3004EA78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13,5%</w:t>
            </w:r>
          </w:p>
        </w:tc>
        <w:tc>
          <w:tcPr>
            <w:tcW w:w="1197" w:type="dxa"/>
            <w:noWrap/>
            <w:hideMark/>
          </w:tcPr>
          <w:p w14:paraId="47A3C18E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5,0%</w:t>
            </w:r>
          </w:p>
        </w:tc>
        <w:tc>
          <w:tcPr>
            <w:tcW w:w="929" w:type="dxa"/>
            <w:noWrap/>
            <w:hideMark/>
          </w:tcPr>
          <w:p w14:paraId="704534C2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6,2%</w:t>
            </w:r>
          </w:p>
        </w:tc>
        <w:tc>
          <w:tcPr>
            <w:tcW w:w="1418" w:type="dxa"/>
            <w:noWrap/>
            <w:hideMark/>
          </w:tcPr>
          <w:p w14:paraId="2A05DDF4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2,4%</w:t>
            </w:r>
          </w:p>
        </w:tc>
        <w:tc>
          <w:tcPr>
            <w:tcW w:w="1417" w:type="dxa"/>
            <w:noWrap/>
            <w:hideMark/>
          </w:tcPr>
          <w:p w14:paraId="3E20ADA3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2,0%</w:t>
            </w:r>
          </w:p>
        </w:tc>
        <w:tc>
          <w:tcPr>
            <w:tcW w:w="1134" w:type="dxa"/>
            <w:noWrap/>
            <w:hideMark/>
          </w:tcPr>
          <w:p w14:paraId="06B21172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lang w:eastAsia="lv-LV"/>
              </w:rPr>
              <w:t>7,4%</w:t>
            </w:r>
          </w:p>
        </w:tc>
        <w:tc>
          <w:tcPr>
            <w:tcW w:w="992" w:type="dxa"/>
            <w:noWrap/>
            <w:hideMark/>
          </w:tcPr>
          <w:p w14:paraId="785403F9" w14:textId="77777777" w:rsidR="00E97E2E" w:rsidRPr="00E97E2E" w:rsidRDefault="00E97E2E" w:rsidP="00E97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58,90%</w:t>
            </w:r>
          </w:p>
        </w:tc>
      </w:tr>
    </w:tbl>
    <w:p w14:paraId="311BB47C" w14:textId="77777777" w:rsidR="00E97E2E" w:rsidRDefault="00E97E2E" w:rsidP="00E97E2E">
      <w:pPr>
        <w:sectPr w:rsidR="00E97E2E" w:rsidSect="00E97E2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1340" w:type="dxa"/>
        <w:tblInd w:w="-447" w:type="dxa"/>
        <w:tblLook w:val="04A0" w:firstRow="1" w:lastRow="0" w:firstColumn="1" w:lastColumn="0" w:noHBand="0" w:noVBand="1"/>
      </w:tblPr>
      <w:tblGrid>
        <w:gridCol w:w="3560"/>
        <w:gridCol w:w="4520"/>
        <w:gridCol w:w="3260"/>
      </w:tblGrid>
      <w:tr w:rsidR="00E97E2E" w:rsidRPr="00E97E2E" w14:paraId="03C2174B" w14:textId="77777777" w:rsidTr="00E97E2E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7CEEB" w14:textId="77777777" w:rsidR="00E97E2E" w:rsidRPr="00E97E2E" w:rsidRDefault="00E97E2E" w:rsidP="00E9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A PRIORITĀTE (Olimpiskie)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 xml:space="preserve"> (&gt;80%)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9C6FD" w14:textId="77777777" w:rsidR="00E97E2E" w:rsidRPr="00E97E2E" w:rsidRDefault="00E97E2E" w:rsidP="00E9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B PRIORITĀTE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 xml:space="preserve"> (&gt;70%)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3CBE7" w14:textId="77777777" w:rsidR="00E97E2E" w:rsidRPr="00E97E2E" w:rsidRDefault="00E97E2E" w:rsidP="00E9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C PRIORITĀTE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 xml:space="preserve"> (&gt;60%)</w:t>
            </w:r>
          </w:p>
        </w:tc>
      </w:tr>
      <w:tr w:rsidR="00E97E2E" w:rsidRPr="00E97E2E" w14:paraId="5F49BA1A" w14:textId="77777777" w:rsidTr="00E97E2E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43877" w14:textId="1FFEF27D" w:rsidR="00E97E2E" w:rsidRPr="00E97E2E" w:rsidRDefault="00E97E2E" w:rsidP="003A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 xml:space="preserve">Ne vairāk kā </w:t>
            </w:r>
            <w:r w:rsidR="003A2E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1</w:t>
            </w:r>
            <w:r w:rsidRPr="00E97E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 xml:space="preserve"> Komandu sporta veidi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0B1D" w14:textId="77777777" w:rsidR="00E97E2E" w:rsidRPr="00E97E2E" w:rsidRDefault="00E97E2E" w:rsidP="00E9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1 Tehniskais sporta veids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24839" w14:textId="77777777" w:rsidR="00E97E2E" w:rsidRPr="00E97E2E" w:rsidRDefault="00E97E2E" w:rsidP="00E9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2 Tehniskie sporta veidi</w:t>
            </w:r>
          </w:p>
        </w:tc>
      </w:tr>
      <w:tr w:rsidR="00E97E2E" w:rsidRPr="00E97E2E" w14:paraId="3BB8319F" w14:textId="77777777" w:rsidTr="00E97E2E">
        <w:trPr>
          <w:trHeight w:val="6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559FA" w14:textId="6D7F0508" w:rsidR="00E97E2E" w:rsidRPr="00E97E2E" w:rsidRDefault="00E97E2E" w:rsidP="003A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 xml:space="preserve">Ne vairāk kā </w:t>
            </w:r>
            <w:r w:rsidR="003A2E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3</w:t>
            </w:r>
            <w:r w:rsidRPr="00E97E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 xml:space="preserve"> Individuālie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A030" w14:textId="77777777" w:rsidR="00E97E2E" w:rsidRPr="00E97E2E" w:rsidRDefault="00E97E2E" w:rsidP="00E9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2 Komandu sporta veidi (Vismaz 1 Olimpiskais)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33F82" w14:textId="77777777" w:rsidR="00E97E2E" w:rsidRPr="00E97E2E" w:rsidRDefault="00E97E2E" w:rsidP="00E9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3 Komandu sporta veidi</w:t>
            </w:r>
          </w:p>
        </w:tc>
      </w:tr>
      <w:tr w:rsidR="00E97E2E" w:rsidRPr="00E97E2E" w14:paraId="68E091D7" w14:textId="77777777" w:rsidTr="00E97E2E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480F9" w14:textId="77777777" w:rsidR="00E97E2E" w:rsidRPr="00E97E2E" w:rsidRDefault="00E97E2E" w:rsidP="00E9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48CA0" w14:textId="61CA4FB2" w:rsidR="00E97E2E" w:rsidRPr="00E97E2E" w:rsidRDefault="003A2E42" w:rsidP="003A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5</w:t>
            </w:r>
            <w:r w:rsidR="00E97E2E" w:rsidRPr="00E97E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 xml:space="preserve"> Individuālie (vismaz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3</w:t>
            </w:r>
            <w:r w:rsidR="00E97E2E" w:rsidRPr="00E97E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 xml:space="preserve"> Olimpiskie)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AA7E" w14:textId="77777777" w:rsidR="00E97E2E" w:rsidRPr="00E97E2E" w:rsidRDefault="00E97E2E" w:rsidP="00E9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10 Individuālie sporta veidi</w:t>
            </w:r>
          </w:p>
        </w:tc>
      </w:tr>
      <w:tr w:rsidR="00E97E2E" w:rsidRPr="00E97E2E" w14:paraId="49E82C81" w14:textId="77777777" w:rsidTr="00E97E2E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DECB" w14:textId="77777777" w:rsidR="00E97E2E" w:rsidRPr="00E97E2E" w:rsidRDefault="00E97E2E" w:rsidP="00E9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BASKETBOLS (90,30%)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AC4A0" w14:textId="77777777" w:rsidR="00E97E2E" w:rsidRPr="00E97E2E" w:rsidRDefault="00E97E2E" w:rsidP="00E9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HOKEJS (76,77%)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5EE6A" w14:textId="77777777" w:rsidR="00E97E2E" w:rsidRPr="00E97E2E" w:rsidRDefault="00E97E2E" w:rsidP="00E9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FLORBOLS (69,48%)</w:t>
            </w:r>
          </w:p>
        </w:tc>
      </w:tr>
      <w:tr w:rsidR="00E97E2E" w:rsidRPr="00E97E2E" w14:paraId="224F8792" w14:textId="77777777" w:rsidTr="006B4415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3318" w14:textId="77777777" w:rsidR="00E97E2E" w:rsidRPr="00E97E2E" w:rsidRDefault="00E97E2E" w:rsidP="00E9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VIEGLATLĒTIKA (85,28%)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FE95" w14:textId="77777777" w:rsidR="00E97E2E" w:rsidRPr="006B4415" w:rsidRDefault="00E97E2E" w:rsidP="00E9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4C1C" w14:textId="77777777" w:rsidR="00E97E2E" w:rsidRPr="006B4415" w:rsidRDefault="00E97E2E" w:rsidP="00E9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6B44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BRĪVĀ CĪŅA (68,39%)</w:t>
            </w:r>
          </w:p>
        </w:tc>
      </w:tr>
      <w:tr w:rsidR="00E97E2E" w:rsidRPr="00E97E2E" w14:paraId="384D95C6" w14:textId="77777777" w:rsidTr="00E97E2E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BBC3" w14:textId="77777777" w:rsidR="00E97E2E" w:rsidRPr="00E97E2E" w:rsidRDefault="00E97E2E" w:rsidP="00E9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0BDE" w14:textId="77777777" w:rsidR="00E97E2E" w:rsidRPr="00E97E2E" w:rsidRDefault="00E97E2E" w:rsidP="00E9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9AB4A" w14:textId="77777777" w:rsidR="00E97E2E" w:rsidRDefault="00E97E2E" w:rsidP="00E9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FUTBOLS (68,21%)</w:t>
            </w:r>
          </w:p>
          <w:p w14:paraId="05D4304C" w14:textId="3A4D20F5" w:rsidR="00FD2012" w:rsidRPr="00E97E2E" w:rsidRDefault="00FD2012" w:rsidP="00E9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PELDĒŠANA (68,02%)</w:t>
            </w:r>
          </w:p>
        </w:tc>
      </w:tr>
      <w:tr w:rsidR="00E97E2E" w:rsidRPr="00E97E2E" w14:paraId="59DE55FB" w14:textId="77777777" w:rsidTr="00E97E2E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8F52" w14:textId="77777777" w:rsidR="00E97E2E" w:rsidRPr="00E97E2E" w:rsidRDefault="00E97E2E" w:rsidP="00E9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EDB7" w14:textId="77777777" w:rsidR="00E97E2E" w:rsidRPr="00E97E2E" w:rsidRDefault="00E97E2E" w:rsidP="00E9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76C5" w14:textId="77777777" w:rsidR="00E97E2E" w:rsidRPr="00E97E2E" w:rsidRDefault="00E97E2E" w:rsidP="00E9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PLUDMALES VOLEJBOLS (66,57%)</w:t>
            </w:r>
          </w:p>
        </w:tc>
      </w:tr>
      <w:tr w:rsidR="00E97E2E" w:rsidRPr="00E97E2E" w14:paraId="088D39A3" w14:textId="77777777" w:rsidTr="00E97E2E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6609" w14:textId="77777777" w:rsidR="00E97E2E" w:rsidRPr="00E97E2E" w:rsidRDefault="00E97E2E" w:rsidP="00E9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37AC" w14:textId="77777777" w:rsidR="00E97E2E" w:rsidRPr="00E97E2E" w:rsidRDefault="00E97E2E" w:rsidP="00E9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7123" w14:textId="0831C686" w:rsidR="00FD2012" w:rsidRPr="00E97E2E" w:rsidRDefault="00E97E2E" w:rsidP="00E9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</w:pPr>
            <w:r w:rsidRPr="00E97E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lv-LV"/>
              </w:rPr>
              <w:t>SVARCELŠANA (62,45%)</w:t>
            </w:r>
          </w:p>
        </w:tc>
      </w:tr>
    </w:tbl>
    <w:p w14:paraId="2CE8E7AD" w14:textId="77777777" w:rsidR="00E97E2E" w:rsidRDefault="00E97E2E" w:rsidP="00E97E2E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1134"/>
        <w:gridCol w:w="1843"/>
        <w:gridCol w:w="1171"/>
      </w:tblGrid>
      <w:tr w:rsidR="00E97E2E" w:rsidRPr="00E97E2E" w14:paraId="6B4AE94D" w14:textId="77777777" w:rsidTr="006B4415">
        <w:trPr>
          <w:trHeight w:val="300"/>
        </w:trPr>
        <w:tc>
          <w:tcPr>
            <w:tcW w:w="2405" w:type="dxa"/>
            <w:noWrap/>
          </w:tcPr>
          <w:p w14:paraId="7E0C99EE" w14:textId="77777777" w:rsidR="00E97E2E" w:rsidRPr="00E97E2E" w:rsidRDefault="00E97E2E" w:rsidP="00E97E2E">
            <w:pPr>
              <w:jc w:val="center"/>
              <w:rPr>
                <w:b/>
              </w:rPr>
            </w:pPr>
            <w:r w:rsidRPr="00E97E2E">
              <w:rPr>
                <w:b/>
              </w:rPr>
              <w:t>SAŅEM FINANSĒJUMU</w:t>
            </w:r>
          </w:p>
        </w:tc>
        <w:tc>
          <w:tcPr>
            <w:tcW w:w="1134" w:type="dxa"/>
            <w:noWrap/>
          </w:tcPr>
          <w:p w14:paraId="447A479B" w14:textId="77777777" w:rsidR="00E97E2E" w:rsidRPr="00E97E2E" w:rsidRDefault="00E97E2E" w:rsidP="00E97E2E">
            <w:pPr>
              <w:jc w:val="center"/>
              <w:rPr>
                <w:b/>
              </w:rPr>
            </w:pPr>
            <w:r w:rsidRPr="00E97E2E">
              <w:rPr>
                <w:b/>
              </w:rPr>
              <w:t>(&gt;50%)</w:t>
            </w:r>
          </w:p>
        </w:tc>
        <w:tc>
          <w:tcPr>
            <w:tcW w:w="1843" w:type="dxa"/>
            <w:vAlign w:val="center"/>
          </w:tcPr>
          <w:p w14:paraId="2219E0CC" w14:textId="77777777" w:rsidR="00E97E2E" w:rsidRDefault="00E97E2E" w:rsidP="00E97E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NETIEK FINANSĒTI</w:t>
            </w:r>
          </w:p>
        </w:tc>
        <w:tc>
          <w:tcPr>
            <w:tcW w:w="1171" w:type="dxa"/>
            <w:vAlign w:val="bottom"/>
          </w:tcPr>
          <w:p w14:paraId="55D1C3A1" w14:textId="77777777" w:rsidR="00E97E2E" w:rsidRDefault="00E97E2E" w:rsidP="00E97E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(&lt;50%)</w:t>
            </w:r>
          </w:p>
        </w:tc>
      </w:tr>
      <w:tr w:rsidR="00E97E2E" w:rsidRPr="00E97E2E" w14:paraId="44E3720E" w14:textId="77777777" w:rsidTr="006B4415">
        <w:trPr>
          <w:trHeight w:val="300"/>
        </w:trPr>
        <w:tc>
          <w:tcPr>
            <w:tcW w:w="2405" w:type="dxa"/>
            <w:noWrap/>
            <w:hideMark/>
          </w:tcPr>
          <w:p w14:paraId="33E52BCE" w14:textId="77777777" w:rsidR="00E97E2E" w:rsidRPr="00E97E2E" w:rsidRDefault="00E97E2E" w:rsidP="00E97E2E">
            <w:pPr>
              <w:jc w:val="center"/>
            </w:pPr>
            <w:r w:rsidRPr="00E97E2E">
              <w:t>Vingrošana</w:t>
            </w:r>
          </w:p>
        </w:tc>
        <w:tc>
          <w:tcPr>
            <w:tcW w:w="1134" w:type="dxa"/>
            <w:noWrap/>
            <w:hideMark/>
          </w:tcPr>
          <w:p w14:paraId="79CE48FC" w14:textId="77777777" w:rsidR="00E97E2E" w:rsidRPr="00E97E2E" w:rsidRDefault="00E97E2E" w:rsidP="00E97E2E">
            <w:pPr>
              <w:jc w:val="center"/>
            </w:pPr>
            <w:r w:rsidRPr="00E97E2E">
              <w:t>59,88%</w:t>
            </w:r>
          </w:p>
        </w:tc>
        <w:tc>
          <w:tcPr>
            <w:tcW w:w="1843" w:type="dxa"/>
            <w:vAlign w:val="bottom"/>
          </w:tcPr>
          <w:p w14:paraId="79D2F2DD" w14:textId="77777777" w:rsidR="00E97E2E" w:rsidRDefault="00E97E2E" w:rsidP="00E97E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Daiļslidošana</w:t>
            </w:r>
          </w:p>
        </w:tc>
        <w:tc>
          <w:tcPr>
            <w:tcW w:w="1171" w:type="dxa"/>
            <w:vAlign w:val="bottom"/>
          </w:tcPr>
          <w:p w14:paraId="2CBC0A4A" w14:textId="77777777" w:rsidR="00E97E2E" w:rsidRDefault="00E97E2E" w:rsidP="00E97E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49,43%</w:t>
            </w:r>
          </w:p>
        </w:tc>
      </w:tr>
      <w:tr w:rsidR="00E97E2E" w:rsidRPr="00E97E2E" w14:paraId="285EB325" w14:textId="77777777" w:rsidTr="006B4415">
        <w:trPr>
          <w:trHeight w:val="300"/>
        </w:trPr>
        <w:tc>
          <w:tcPr>
            <w:tcW w:w="2405" w:type="dxa"/>
            <w:noWrap/>
            <w:hideMark/>
          </w:tcPr>
          <w:p w14:paraId="649B4D43" w14:textId="77777777" w:rsidR="00E97E2E" w:rsidRPr="00E97E2E" w:rsidRDefault="00E97E2E" w:rsidP="00E97E2E">
            <w:pPr>
              <w:jc w:val="center"/>
            </w:pPr>
            <w:r w:rsidRPr="00E97E2E">
              <w:t>Motokross</w:t>
            </w:r>
          </w:p>
        </w:tc>
        <w:tc>
          <w:tcPr>
            <w:tcW w:w="1134" w:type="dxa"/>
            <w:noWrap/>
            <w:hideMark/>
          </w:tcPr>
          <w:p w14:paraId="34EFFCCD" w14:textId="77777777" w:rsidR="00E97E2E" w:rsidRPr="00E97E2E" w:rsidRDefault="00E97E2E" w:rsidP="00E97E2E">
            <w:pPr>
              <w:jc w:val="center"/>
            </w:pPr>
            <w:r w:rsidRPr="00E97E2E">
              <w:t>58,90%</w:t>
            </w:r>
          </w:p>
        </w:tc>
        <w:tc>
          <w:tcPr>
            <w:tcW w:w="1843" w:type="dxa"/>
            <w:vAlign w:val="bottom"/>
          </w:tcPr>
          <w:p w14:paraId="75C208CE" w14:textId="1E972FB7" w:rsidR="00E97E2E" w:rsidRPr="00FD2012" w:rsidRDefault="00FD2012" w:rsidP="00E97E2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Skeitbords</w:t>
            </w:r>
          </w:p>
        </w:tc>
        <w:tc>
          <w:tcPr>
            <w:tcW w:w="1171" w:type="dxa"/>
            <w:vAlign w:val="bottom"/>
          </w:tcPr>
          <w:p w14:paraId="2FD8B9DA" w14:textId="7B8C4DC4" w:rsidR="00E97E2E" w:rsidRPr="00FD2012" w:rsidRDefault="00FD2012" w:rsidP="00E97E2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48,33%</w:t>
            </w:r>
          </w:p>
        </w:tc>
      </w:tr>
      <w:tr w:rsidR="00FD2012" w:rsidRPr="00E97E2E" w14:paraId="040ABFF3" w14:textId="77777777" w:rsidTr="006B4415">
        <w:trPr>
          <w:trHeight w:val="300"/>
        </w:trPr>
        <w:tc>
          <w:tcPr>
            <w:tcW w:w="2405" w:type="dxa"/>
            <w:noWrap/>
            <w:hideMark/>
          </w:tcPr>
          <w:p w14:paraId="540B48D7" w14:textId="77777777" w:rsidR="00FD2012" w:rsidRPr="00E97E2E" w:rsidRDefault="00FD2012" w:rsidP="00FD2012">
            <w:pPr>
              <w:jc w:val="center"/>
            </w:pPr>
            <w:r w:rsidRPr="00E97E2E">
              <w:t>Sporta dejas</w:t>
            </w:r>
          </w:p>
        </w:tc>
        <w:tc>
          <w:tcPr>
            <w:tcW w:w="1134" w:type="dxa"/>
            <w:noWrap/>
            <w:hideMark/>
          </w:tcPr>
          <w:p w14:paraId="4FF63500" w14:textId="6C3E7CD9" w:rsidR="00FD2012" w:rsidRPr="00E97E2E" w:rsidRDefault="00FD2012" w:rsidP="00FD2012">
            <w:pPr>
              <w:jc w:val="center"/>
            </w:pPr>
            <w:r w:rsidRPr="00E97E2E">
              <w:t>58,51%</w:t>
            </w:r>
          </w:p>
        </w:tc>
        <w:tc>
          <w:tcPr>
            <w:tcW w:w="1843" w:type="dxa"/>
            <w:vAlign w:val="bottom"/>
          </w:tcPr>
          <w:p w14:paraId="335C131F" w14:textId="4AE057B4" w:rsidR="00FD2012" w:rsidRDefault="00FD2012" w:rsidP="00FD201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Skeletons</w:t>
            </w:r>
          </w:p>
        </w:tc>
        <w:tc>
          <w:tcPr>
            <w:tcW w:w="1171" w:type="dxa"/>
            <w:vAlign w:val="bottom"/>
          </w:tcPr>
          <w:p w14:paraId="6E566918" w14:textId="1B9183A9" w:rsidR="00FD2012" w:rsidRDefault="00FD2012" w:rsidP="00FD201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47,18%</w:t>
            </w:r>
          </w:p>
        </w:tc>
      </w:tr>
      <w:tr w:rsidR="00FD2012" w:rsidRPr="00E97E2E" w14:paraId="3139D5B4" w14:textId="77777777" w:rsidTr="00FD2012">
        <w:trPr>
          <w:trHeight w:val="300"/>
        </w:trPr>
        <w:tc>
          <w:tcPr>
            <w:tcW w:w="2405" w:type="dxa"/>
            <w:noWrap/>
          </w:tcPr>
          <w:p w14:paraId="2B727511" w14:textId="7021687C" w:rsidR="00FD2012" w:rsidRPr="006B4415" w:rsidRDefault="00FD2012" w:rsidP="00FD2012">
            <w:pPr>
              <w:jc w:val="center"/>
            </w:pPr>
            <w:r>
              <w:t>Džudo</w:t>
            </w:r>
          </w:p>
        </w:tc>
        <w:tc>
          <w:tcPr>
            <w:tcW w:w="1134" w:type="dxa"/>
            <w:noWrap/>
          </w:tcPr>
          <w:p w14:paraId="6101D1F5" w14:textId="4CB251C9" w:rsidR="00FD2012" w:rsidRPr="006B4415" w:rsidRDefault="00FD2012" w:rsidP="00FD2012">
            <w:pPr>
              <w:jc w:val="center"/>
            </w:pPr>
            <w:r>
              <w:t>55,14%</w:t>
            </w:r>
          </w:p>
        </w:tc>
        <w:tc>
          <w:tcPr>
            <w:tcW w:w="1843" w:type="dxa"/>
            <w:vAlign w:val="bottom"/>
          </w:tcPr>
          <w:p w14:paraId="1DE09A78" w14:textId="3874BA1E" w:rsidR="00FD2012" w:rsidRPr="006B4415" w:rsidRDefault="00FD2012" w:rsidP="00FD20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Regbijs</w:t>
            </w:r>
          </w:p>
        </w:tc>
        <w:tc>
          <w:tcPr>
            <w:tcW w:w="1171" w:type="dxa"/>
            <w:vAlign w:val="bottom"/>
          </w:tcPr>
          <w:p w14:paraId="4C92A7BD" w14:textId="7114F4ED" w:rsidR="00FD2012" w:rsidRPr="006B4415" w:rsidRDefault="00FD2012" w:rsidP="00FD20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43,55%</w:t>
            </w:r>
          </w:p>
        </w:tc>
      </w:tr>
      <w:tr w:rsidR="00FD2012" w:rsidRPr="00E97E2E" w14:paraId="59C2D8FD" w14:textId="77777777" w:rsidTr="006B4415">
        <w:trPr>
          <w:trHeight w:val="300"/>
        </w:trPr>
        <w:tc>
          <w:tcPr>
            <w:tcW w:w="2405" w:type="dxa"/>
            <w:noWrap/>
          </w:tcPr>
          <w:p w14:paraId="5612FB40" w14:textId="5281A421" w:rsidR="00FD2012" w:rsidRPr="006B4415" w:rsidRDefault="00FD2012" w:rsidP="00FD2012">
            <w:pPr>
              <w:jc w:val="center"/>
            </w:pPr>
            <w:r w:rsidRPr="006B4415">
              <w:t>Kamaniņu sports</w:t>
            </w:r>
          </w:p>
        </w:tc>
        <w:tc>
          <w:tcPr>
            <w:tcW w:w="1134" w:type="dxa"/>
            <w:noWrap/>
          </w:tcPr>
          <w:p w14:paraId="313DB991" w14:textId="528269CB" w:rsidR="00FD2012" w:rsidRPr="006B4415" w:rsidRDefault="00FD2012" w:rsidP="00FD2012">
            <w:pPr>
              <w:jc w:val="center"/>
            </w:pPr>
            <w:r w:rsidRPr="006B4415">
              <w:t>54,92%</w:t>
            </w:r>
          </w:p>
        </w:tc>
        <w:tc>
          <w:tcPr>
            <w:tcW w:w="1843" w:type="dxa"/>
            <w:vAlign w:val="bottom"/>
          </w:tcPr>
          <w:p w14:paraId="2804B80F" w14:textId="4C0514BE" w:rsidR="00FD2012" w:rsidRPr="006B4415" w:rsidRDefault="00FD2012" w:rsidP="00FD20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4415">
              <w:rPr>
                <w:rFonts w:ascii="Calibri" w:hAnsi="Calibri" w:cs="Calibri"/>
                <w:sz w:val="22"/>
                <w:szCs w:val="22"/>
              </w:rPr>
              <w:t>Loka šaušana</w:t>
            </w:r>
          </w:p>
        </w:tc>
        <w:tc>
          <w:tcPr>
            <w:tcW w:w="1171" w:type="dxa"/>
            <w:vAlign w:val="bottom"/>
          </w:tcPr>
          <w:p w14:paraId="5815DCC2" w14:textId="79F9A58C" w:rsidR="00FD2012" w:rsidRPr="006B4415" w:rsidRDefault="00FD2012" w:rsidP="00FD20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4415">
              <w:rPr>
                <w:rFonts w:ascii="Calibri" w:hAnsi="Calibri" w:cs="Calibri"/>
                <w:sz w:val="22"/>
                <w:szCs w:val="22"/>
              </w:rPr>
              <w:t>43,24%</w:t>
            </w:r>
          </w:p>
        </w:tc>
      </w:tr>
      <w:tr w:rsidR="00FD2012" w:rsidRPr="00E97E2E" w14:paraId="199430C1" w14:textId="77777777" w:rsidTr="006B4415">
        <w:trPr>
          <w:trHeight w:val="300"/>
        </w:trPr>
        <w:tc>
          <w:tcPr>
            <w:tcW w:w="2405" w:type="dxa"/>
            <w:noWrap/>
            <w:hideMark/>
          </w:tcPr>
          <w:p w14:paraId="12C81E47" w14:textId="77777777" w:rsidR="00FD2012" w:rsidRPr="006B4415" w:rsidRDefault="00FD2012" w:rsidP="00FD2012">
            <w:pPr>
              <w:jc w:val="center"/>
            </w:pPr>
            <w:r w:rsidRPr="006B4415">
              <w:t>Kanoe un smaiļošana</w:t>
            </w:r>
          </w:p>
        </w:tc>
        <w:tc>
          <w:tcPr>
            <w:tcW w:w="1134" w:type="dxa"/>
            <w:noWrap/>
            <w:hideMark/>
          </w:tcPr>
          <w:p w14:paraId="223E5300" w14:textId="77777777" w:rsidR="00FD2012" w:rsidRPr="006B4415" w:rsidRDefault="00FD2012" w:rsidP="00FD2012">
            <w:pPr>
              <w:jc w:val="center"/>
            </w:pPr>
            <w:r w:rsidRPr="006B4415">
              <w:t>54,46%</w:t>
            </w:r>
          </w:p>
        </w:tc>
        <w:tc>
          <w:tcPr>
            <w:tcW w:w="1843" w:type="dxa"/>
            <w:vAlign w:val="bottom"/>
          </w:tcPr>
          <w:p w14:paraId="4C02EC3C" w14:textId="2C2471BD" w:rsidR="00FD2012" w:rsidRPr="00661F89" w:rsidRDefault="00FD2012" w:rsidP="00FD20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4415">
              <w:rPr>
                <w:rFonts w:ascii="Calibri" w:hAnsi="Calibri" w:cs="Calibri"/>
                <w:sz w:val="22"/>
                <w:szCs w:val="22"/>
              </w:rPr>
              <w:t>Virves vilkšana</w:t>
            </w:r>
          </w:p>
        </w:tc>
        <w:tc>
          <w:tcPr>
            <w:tcW w:w="1171" w:type="dxa"/>
            <w:vAlign w:val="bottom"/>
          </w:tcPr>
          <w:p w14:paraId="272D8D58" w14:textId="74A9950A" w:rsidR="00FD2012" w:rsidRPr="00661F89" w:rsidRDefault="00FD2012" w:rsidP="00FD20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23,09%</w:t>
            </w:r>
          </w:p>
        </w:tc>
      </w:tr>
      <w:tr w:rsidR="00FD2012" w:rsidRPr="00E97E2E" w14:paraId="3C1DB60F" w14:textId="77777777" w:rsidTr="006B4415">
        <w:trPr>
          <w:trHeight w:val="300"/>
        </w:trPr>
        <w:tc>
          <w:tcPr>
            <w:tcW w:w="2405" w:type="dxa"/>
            <w:noWrap/>
            <w:hideMark/>
          </w:tcPr>
          <w:p w14:paraId="651F1009" w14:textId="77777777" w:rsidR="00FD2012" w:rsidRPr="006B4415" w:rsidRDefault="00FD2012" w:rsidP="00FD2012">
            <w:pPr>
              <w:jc w:val="center"/>
            </w:pPr>
            <w:r w:rsidRPr="006B4415">
              <w:t>Orientēšanās</w:t>
            </w:r>
          </w:p>
        </w:tc>
        <w:tc>
          <w:tcPr>
            <w:tcW w:w="1134" w:type="dxa"/>
            <w:noWrap/>
            <w:hideMark/>
          </w:tcPr>
          <w:p w14:paraId="73B724C0" w14:textId="77777777" w:rsidR="00FD2012" w:rsidRPr="006B4415" w:rsidRDefault="00FD2012" w:rsidP="00FD2012">
            <w:pPr>
              <w:jc w:val="center"/>
            </w:pPr>
            <w:r w:rsidRPr="006B4415">
              <w:t>53,21%</w:t>
            </w:r>
          </w:p>
        </w:tc>
        <w:tc>
          <w:tcPr>
            <w:tcW w:w="1843" w:type="dxa"/>
            <w:vAlign w:val="bottom"/>
          </w:tcPr>
          <w:p w14:paraId="5409C0C7" w14:textId="0CC2AB75" w:rsidR="00FD2012" w:rsidRPr="006B4415" w:rsidRDefault="00FD2012" w:rsidP="00FD20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Tramplīnlēkšana</w:t>
            </w:r>
          </w:p>
        </w:tc>
        <w:tc>
          <w:tcPr>
            <w:tcW w:w="1171" w:type="dxa"/>
            <w:vAlign w:val="bottom"/>
          </w:tcPr>
          <w:p w14:paraId="153562D8" w14:textId="437A4731" w:rsidR="00FD2012" w:rsidRPr="006B4415" w:rsidRDefault="00FD2012" w:rsidP="00FD20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19,23%</w:t>
            </w:r>
          </w:p>
        </w:tc>
      </w:tr>
      <w:tr w:rsidR="00FD2012" w:rsidRPr="00E97E2E" w14:paraId="1CBE4568" w14:textId="77777777" w:rsidTr="0088572B">
        <w:trPr>
          <w:trHeight w:val="300"/>
        </w:trPr>
        <w:tc>
          <w:tcPr>
            <w:tcW w:w="2405" w:type="dxa"/>
            <w:noWrap/>
          </w:tcPr>
          <w:p w14:paraId="3747C16F" w14:textId="20159450" w:rsidR="00FD2012" w:rsidRPr="006B4415" w:rsidRDefault="00FD2012" w:rsidP="00FD2012">
            <w:pPr>
              <w:jc w:val="center"/>
            </w:pPr>
            <w:r w:rsidRPr="006B4415">
              <w:t>Burāšana</w:t>
            </w:r>
          </w:p>
        </w:tc>
        <w:tc>
          <w:tcPr>
            <w:tcW w:w="1134" w:type="dxa"/>
            <w:noWrap/>
          </w:tcPr>
          <w:p w14:paraId="56D4A381" w14:textId="76E77522" w:rsidR="00FD2012" w:rsidRPr="006B4415" w:rsidRDefault="00FD2012" w:rsidP="00FD2012">
            <w:pPr>
              <w:jc w:val="center"/>
            </w:pPr>
            <w:r w:rsidRPr="006B4415">
              <w:t>52,96%</w:t>
            </w:r>
          </w:p>
        </w:tc>
        <w:tc>
          <w:tcPr>
            <w:tcW w:w="1843" w:type="dxa"/>
            <w:vAlign w:val="bottom"/>
          </w:tcPr>
          <w:p w14:paraId="36916015" w14:textId="209D50ED" w:rsidR="00FD2012" w:rsidRPr="006B4415" w:rsidRDefault="00FD2012" w:rsidP="00FD20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1" w:type="dxa"/>
            <w:vAlign w:val="bottom"/>
          </w:tcPr>
          <w:p w14:paraId="021FE5C4" w14:textId="729A32D7" w:rsidR="00FD2012" w:rsidRPr="006B4415" w:rsidRDefault="00FD2012" w:rsidP="00FD20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2012" w:rsidRPr="00E97E2E" w14:paraId="4D832490" w14:textId="77777777" w:rsidTr="0088572B">
        <w:trPr>
          <w:trHeight w:val="300"/>
        </w:trPr>
        <w:tc>
          <w:tcPr>
            <w:tcW w:w="2405" w:type="dxa"/>
            <w:noWrap/>
            <w:hideMark/>
          </w:tcPr>
          <w:p w14:paraId="5ADE4320" w14:textId="29C23E81" w:rsidR="00FD2012" w:rsidRPr="006B4415" w:rsidRDefault="00FD2012" w:rsidP="00FD2012">
            <w:pPr>
              <w:jc w:val="center"/>
            </w:pPr>
            <w:r w:rsidRPr="006B4415">
              <w:t>Bobslejs</w:t>
            </w:r>
          </w:p>
        </w:tc>
        <w:tc>
          <w:tcPr>
            <w:tcW w:w="1134" w:type="dxa"/>
            <w:noWrap/>
            <w:hideMark/>
          </w:tcPr>
          <w:p w14:paraId="1BC20F20" w14:textId="2B018819" w:rsidR="00FD2012" w:rsidRPr="006B4415" w:rsidRDefault="00FD2012" w:rsidP="00FD2012">
            <w:pPr>
              <w:jc w:val="center"/>
            </w:pPr>
            <w:r w:rsidRPr="006B4415">
              <w:t>52,95%</w:t>
            </w:r>
          </w:p>
        </w:tc>
        <w:tc>
          <w:tcPr>
            <w:tcW w:w="1843" w:type="dxa"/>
            <w:vAlign w:val="bottom"/>
          </w:tcPr>
          <w:p w14:paraId="7ECAF2B2" w14:textId="171EF924" w:rsidR="00FD2012" w:rsidRPr="006B4415" w:rsidRDefault="00FD2012" w:rsidP="00FD20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1" w:type="dxa"/>
            <w:vAlign w:val="bottom"/>
          </w:tcPr>
          <w:p w14:paraId="4ACDA015" w14:textId="4E366073" w:rsidR="00FD2012" w:rsidRPr="006B4415" w:rsidRDefault="00FD2012" w:rsidP="00FD20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2012" w:rsidRPr="00E97E2E" w14:paraId="78243BD1" w14:textId="77777777" w:rsidTr="0088572B">
        <w:trPr>
          <w:trHeight w:val="300"/>
        </w:trPr>
        <w:tc>
          <w:tcPr>
            <w:tcW w:w="2405" w:type="dxa"/>
            <w:noWrap/>
          </w:tcPr>
          <w:p w14:paraId="5DF38E86" w14:textId="557EDABD" w:rsidR="00FD2012" w:rsidRPr="006B4415" w:rsidRDefault="00FD2012" w:rsidP="00FD2012">
            <w:pPr>
              <w:jc w:val="center"/>
            </w:pPr>
            <w:r w:rsidRPr="00E97E2E">
              <w:t>Distanču slēpošana</w:t>
            </w:r>
          </w:p>
        </w:tc>
        <w:tc>
          <w:tcPr>
            <w:tcW w:w="1134" w:type="dxa"/>
            <w:noWrap/>
          </w:tcPr>
          <w:p w14:paraId="63AF851E" w14:textId="7E9A7905" w:rsidR="00FD2012" w:rsidRPr="006B4415" w:rsidRDefault="00FD2012" w:rsidP="00FD2012">
            <w:pPr>
              <w:jc w:val="center"/>
            </w:pPr>
            <w:r w:rsidRPr="00E97E2E">
              <w:t>51,77%</w:t>
            </w:r>
          </w:p>
        </w:tc>
        <w:tc>
          <w:tcPr>
            <w:tcW w:w="1843" w:type="dxa"/>
            <w:vAlign w:val="bottom"/>
          </w:tcPr>
          <w:p w14:paraId="5F92B2F4" w14:textId="6E487CCA" w:rsidR="00FD2012" w:rsidRPr="006B4415" w:rsidRDefault="00FD2012" w:rsidP="00FD2012">
            <w:pPr>
              <w:ind w:left="720" w:hanging="7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1" w:type="dxa"/>
            <w:vAlign w:val="bottom"/>
          </w:tcPr>
          <w:p w14:paraId="19E8196D" w14:textId="1A4899FF" w:rsidR="00FD2012" w:rsidRPr="006B4415" w:rsidRDefault="00FD2012" w:rsidP="00FD20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2012" w:rsidRPr="00E97E2E" w14:paraId="3A7FE6BC" w14:textId="77777777" w:rsidTr="00E97E2E">
        <w:trPr>
          <w:gridAfter w:val="2"/>
          <w:wAfter w:w="3014" w:type="dxa"/>
          <w:trHeight w:val="300"/>
        </w:trPr>
        <w:tc>
          <w:tcPr>
            <w:tcW w:w="2405" w:type="dxa"/>
            <w:noWrap/>
            <w:hideMark/>
          </w:tcPr>
          <w:p w14:paraId="3B1E8779" w14:textId="33ABACAB" w:rsidR="00FD2012" w:rsidRPr="00E97E2E" w:rsidRDefault="00FD2012" w:rsidP="00FD2012">
            <w:pPr>
              <w:jc w:val="center"/>
            </w:pPr>
            <w:r w:rsidRPr="00E97E2E">
              <w:t>Biatlons</w:t>
            </w:r>
          </w:p>
        </w:tc>
        <w:tc>
          <w:tcPr>
            <w:tcW w:w="1134" w:type="dxa"/>
            <w:noWrap/>
            <w:hideMark/>
          </w:tcPr>
          <w:p w14:paraId="1D3FFAA9" w14:textId="52CAC5D2" w:rsidR="00FD2012" w:rsidRPr="00E97E2E" w:rsidRDefault="00FD2012" w:rsidP="00FD2012">
            <w:pPr>
              <w:jc w:val="center"/>
            </w:pPr>
            <w:r w:rsidRPr="00E97E2E">
              <w:t>50,69%</w:t>
            </w:r>
          </w:p>
        </w:tc>
      </w:tr>
      <w:tr w:rsidR="00FD2012" w:rsidRPr="00E97E2E" w14:paraId="720DA577" w14:textId="77777777" w:rsidTr="00E97E2E">
        <w:trPr>
          <w:gridAfter w:val="2"/>
          <w:wAfter w:w="3014" w:type="dxa"/>
          <w:trHeight w:val="300"/>
        </w:trPr>
        <w:tc>
          <w:tcPr>
            <w:tcW w:w="2405" w:type="dxa"/>
            <w:noWrap/>
            <w:hideMark/>
          </w:tcPr>
          <w:p w14:paraId="57C37CC2" w14:textId="42C35847" w:rsidR="00FD2012" w:rsidRPr="00E97E2E" w:rsidRDefault="00FD2012" w:rsidP="00FD2012">
            <w:pPr>
              <w:jc w:val="center"/>
            </w:pPr>
            <w:proofErr w:type="spellStart"/>
            <w:r>
              <w:t>K</w:t>
            </w:r>
            <w:r w:rsidRPr="00E97E2E">
              <w:t>ērlings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195FCBE" w14:textId="57D1F75B" w:rsidR="00FD2012" w:rsidRPr="00E97E2E" w:rsidRDefault="00FD2012" w:rsidP="00FD2012">
            <w:pPr>
              <w:jc w:val="center"/>
            </w:pPr>
            <w:r w:rsidRPr="00E97E2E">
              <w:t>50,43%</w:t>
            </w:r>
          </w:p>
        </w:tc>
      </w:tr>
    </w:tbl>
    <w:p w14:paraId="44F67D08" w14:textId="77777777" w:rsidR="00E97E2E" w:rsidRDefault="00E97E2E" w:rsidP="00E97E2E"/>
    <w:p w14:paraId="790D55F6" w14:textId="2D13F89B" w:rsidR="0036433B" w:rsidRDefault="0036433B" w:rsidP="0036433B">
      <w:pPr>
        <w:jc w:val="both"/>
      </w:pPr>
      <w:r>
        <w:t xml:space="preserve">Ja neviens no sporta veidiem, kuri ir Olimpiskie sporta veidi neizpilda kritērijus A un B prioritātēm, tad 2 vasaras sporta veidiem un 2 ziemas sporta veidiem tiek piešķirtas prioritātes. Prioritātes tiek piešķirtās sporta veidiem kuri ir sasnieguši visaugstākos rezultātus pēc kritērijiem: B prioritāte (1 Vasaras sporta veidam un 1 Ziemas sporta veidam)  un C prioritāte (1 Vasaras sporta veidam un 1 Ziemas sporta veidam). </w:t>
      </w:r>
    </w:p>
    <w:p w14:paraId="3F276410" w14:textId="78D52E8C" w:rsidR="00E97E2E" w:rsidRDefault="003A2E42" w:rsidP="0036433B">
      <w:pPr>
        <w:jc w:val="both"/>
      </w:pPr>
      <w:r>
        <w:t>Kā alternatīva individuālo un individuālo komandu ziemas sporta veidiem</w:t>
      </w:r>
      <w:r w:rsidR="00213C5C">
        <w:t xml:space="preserve"> ir jāatstāj iespēja būt kādā no prioritātēm. Pašreizējā tabula, saistībā ar īso ziemas periodu, pieejamību un mazo jauniešu sporta iesaisti </w:t>
      </w:r>
      <w:r w:rsidR="0036433B">
        <w:t>individuālie ziemas sporta veidi automātiski iegūst mazāku punktu skaitu. Saistībā ar augstākminēto vienam individuālajiem ziemas</w:t>
      </w:r>
      <w:r w:rsidR="00213C5C">
        <w:t xml:space="preserve"> sporta veidam kuram ir visaugstākie </w:t>
      </w:r>
      <w:r w:rsidR="0036433B">
        <w:t xml:space="preserve">rādītāji varētu tikt piešķirt B prioritāte un sporta veidam ar otru lielāko vērtību varētu tikt piešķirta C prioritāte. </w:t>
      </w:r>
    </w:p>
    <w:p w14:paraId="02E3C764" w14:textId="77777777" w:rsidR="0036433B" w:rsidRDefault="0036433B" w:rsidP="0036433B">
      <w:pPr>
        <w:jc w:val="both"/>
      </w:pPr>
    </w:p>
    <w:p w14:paraId="65369094" w14:textId="77777777" w:rsidR="00352A68" w:rsidRDefault="00352A68" w:rsidP="00E97E2E"/>
    <w:p w14:paraId="795564A4" w14:textId="77777777" w:rsidR="00E97E2E" w:rsidRDefault="00E97E2E"/>
    <w:sectPr w:rsidR="00E97E2E" w:rsidSect="00E97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84"/>
    <w:rsid w:val="00213C5C"/>
    <w:rsid w:val="00352A68"/>
    <w:rsid w:val="0036433B"/>
    <w:rsid w:val="003A2E42"/>
    <w:rsid w:val="004B27F0"/>
    <w:rsid w:val="00661F89"/>
    <w:rsid w:val="006B4415"/>
    <w:rsid w:val="007802EF"/>
    <w:rsid w:val="00BE1984"/>
    <w:rsid w:val="00DC48B7"/>
    <w:rsid w:val="00E96595"/>
    <w:rsid w:val="00E966A3"/>
    <w:rsid w:val="00E97E2E"/>
    <w:rsid w:val="00FD2012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6174"/>
  <w15:chartTrackingRefBased/>
  <w15:docId w15:val="{6F7704C2-409C-4492-AC6C-7B922619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lv-LV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E2E"/>
  </w:style>
  <w:style w:type="paragraph" w:styleId="Heading1">
    <w:name w:val="heading 1"/>
    <w:basedOn w:val="Normal"/>
    <w:next w:val="Normal"/>
    <w:link w:val="Heading1Char"/>
    <w:uiPriority w:val="9"/>
    <w:qFormat/>
    <w:rsid w:val="00E97E2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7E2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E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7E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E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E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E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E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E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E2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E2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E2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7E2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E2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E2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E2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E2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E2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7E2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97E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97E2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E2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97E2E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97E2E"/>
    <w:rPr>
      <w:b/>
      <w:bCs/>
    </w:rPr>
  </w:style>
  <w:style w:type="character" w:styleId="Emphasis">
    <w:name w:val="Emphasis"/>
    <w:basedOn w:val="DefaultParagraphFont"/>
    <w:uiPriority w:val="20"/>
    <w:qFormat/>
    <w:rsid w:val="00E97E2E"/>
    <w:rPr>
      <w:i/>
      <w:iCs/>
      <w:color w:val="70AD47" w:themeColor="accent6"/>
    </w:rPr>
  </w:style>
  <w:style w:type="paragraph" w:styleId="NoSpacing">
    <w:name w:val="No Spacing"/>
    <w:uiPriority w:val="1"/>
    <w:qFormat/>
    <w:rsid w:val="00E97E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7E2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97E2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E2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E2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97E2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97E2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97E2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97E2E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E97E2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7E2E"/>
    <w:pPr>
      <w:outlineLvl w:val="9"/>
    </w:pPr>
  </w:style>
  <w:style w:type="table" w:styleId="GridTable1Light">
    <w:name w:val="Grid Table 1 Light"/>
    <w:basedOn w:val="TableNormal"/>
    <w:uiPriority w:val="46"/>
    <w:rsid w:val="00E97E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9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7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1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1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F3EC3-218E-47FB-A2F8-F2FE9D92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2657</Words>
  <Characters>1515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Reinfelds</dc:creator>
  <cp:keywords/>
  <dc:description/>
  <cp:lastModifiedBy>Kristaps Reinfelds</cp:lastModifiedBy>
  <cp:revision>9</cp:revision>
  <dcterms:created xsi:type="dcterms:W3CDTF">2019-08-03T04:29:00Z</dcterms:created>
  <dcterms:modified xsi:type="dcterms:W3CDTF">2019-08-12T09:18:00Z</dcterms:modified>
</cp:coreProperties>
</file>